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C9572" w14:textId="5E2E6D95" w:rsidR="00864C4D" w:rsidRPr="00061566" w:rsidRDefault="00864C4D" w:rsidP="002847A9">
      <w:pPr>
        <w:jc w:val="both"/>
        <w:rPr>
          <w:rFonts w:ascii="Times New Roman" w:hAnsi="Times New Roman" w:cs="Times New Roman"/>
          <w:sz w:val="24"/>
          <w:szCs w:val="24"/>
        </w:rPr>
      </w:pPr>
    </w:p>
    <w:p w14:paraId="4DE7D269" w14:textId="14E60D52" w:rsidR="00864C4D" w:rsidRDefault="00864C4D" w:rsidP="00864C4D">
      <w:pPr>
        <w:jc w:val="center"/>
        <w:rPr>
          <w:rFonts w:ascii="Times New Roman" w:hAnsi="Times New Roman" w:cs="Times New Roman"/>
          <w:b/>
          <w:bCs/>
          <w:sz w:val="24"/>
          <w:szCs w:val="24"/>
        </w:rPr>
      </w:pPr>
      <w:r w:rsidRPr="00061566">
        <w:rPr>
          <w:rFonts w:ascii="Times New Roman" w:hAnsi="Times New Roman" w:cs="Times New Roman"/>
          <w:b/>
          <w:bCs/>
          <w:sz w:val="24"/>
          <w:szCs w:val="24"/>
        </w:rPr>
        <w:t>CAPITAL STRUCTURE AND FIRM PERFORMANCE OF LISTED MANUFACTURING FIRMS IN NIGERIA STOCK EXCHANCE</w:t>
      </w:r>
    </w:p>
    <w:p w14:paraId="0184D728" w14:textId="73C07803" w:rsidR="000C73DE" w:rsidRDefault="000C73DE" w:rsidP="000C73DE">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OLANIYI </w:t>
      </w:r>
      <w:proofErr w:type="spellStart"/>
      <w:r>
        <w:rPr>
          <w:rFonts w:ascii="Times New Roman" w:hAnsi="Times New Roman" w:cs="Times New Roman"/>
          <w:b/>
          <w:bCs/>
          <w:sz w:val="24"/>
          <w:szCs w:val="24"/>
        </w:rPr>
        <w:t>Rafiyat</w:t>
      </w:r>
      <w:proofErr w:type="spellEnd"/>
      <w:r>
        <w:rPr>
          <w:rFonts w:ascii="Times New Roman" w:hAnsi="Times New Roman" w:cs="Times New Roman"/>
          <w:b/>
          <w:bCs/>
          <w:sz w:val="24"/>
          <w:szCs w:val="24"/>
        </w:rPr>
        <w:t xml:space="preserve"> Bosede</w:t>
      </w:r>
    </w:p>
    <w:p w14:paraId="39C9061F" w14:textId="1E7BBEA0" w:rsidR="000C73DE" w:rsidRPr="000C73DE" w:rsidRDefault="000C73DE" w:rsidP="000C73DE">
      <w:pPr>
        <w:spacing w:after="0"/>
        <w:jc w:val="center"/>
        <w:rPr>
          <w:rFonts w:ascii="Times New Roman" w:hAnsi="Times New Roman" w:cs="Times New Roman"/>
          <w:sz w:val="24"/>
          <w:szCs w:val="24"/>
        </w:rPr>
      </w:pPr>
      <w:bookmarkStart w:id="0" w:name="_Hlk104569117"/>
      <w:r w:rsidRPr="000E244C">
        <w:rPr>
          <w:rFonts w:ascii="Times New Roman" w:hAnsi="Times New Roman" w:cs="Times New Roman"/>
          <w:sz w:val="24"/>
          <w:szCs w:val="24"/>
        </w:rPr>
        <w:t xml:space="preserve">Department of </w:t>
      </w:r>
      <w:r w:rsidRPr="000E244C">
        <w:rPr>
          <w:rFonts w:ascii="Times New Roman" w:hAnsi="Times New Roman"/>
          <w:sz w:val="24"/>
          <w:szCs w:val="24"/>
        </w:rPr>
        <w:t>Accounting</w:t>
      </w:r>
      <w:r>
        <w:rPr>
          <w:rFonts w:ascii="Times New Roman" w:hAnsi="Times New Roman"/>
          <w:sz w:val="24"/>
          <w:szCs w:val="24"/>
        </w:rPr>
        <w:t>,</w:t>
      </w:r>
      <w:r w:rsidRPr="000E244C">
        <w:rPr>
          <w:rFonts w:ascii="Times New Roman" w:hAnsi="Times New Roman"/>
          <w:sz w:val="24"/>
          <w:szCs w:val="24"/>
        </w:rPr>
        <w:t xml:space="preserve"> Federal</w:t>
      </w:r>
      <w:r w:rsidRPr="000E244C">
        <w:rPr>
          <w:rFonts w:ascii="Times New Roman" w:hAnsi="Times New Roman" w:cs="Times New Roman"/>
          <w:sz w:val="24"/>
          <w:szCs w:val="24"/>
        </w:rPr>
        <w:t xml:space="preserve"> University Oye-Ekiti, Nigeria</w:t>
      </w:r>
    </w:p>
    <w:bookmarkEnd w:id="0"/>
    <w:p w14:paraId="1AEF0CD4" w14:textId="77777777" w:rsidR="000C73DE" w:rsidRDefault="000C73DE" w:rsidP="000C73DE">
      <w:pPr>
        <w:spacing w:after="0"/>
        <w:jc w:val="center"/>
        <w:rPr>
          <w:rFonts w:ascii="Times New Roman" w:hAnsi="Times New Roman" w:cs="Times New Roman"/>
          <w:b/>
          <w:bCs/>
          <w:sz w:val="24"/>
          <w:szCs w:val="24"/>
        </w:rPr>
      </w:pPr>
    </w:p>
    <w:p w14:paraId="6161B976" w14:textId="4DF9B5A8" w:rsidR="000C73DE" w:rsidRDefault="00AF1598" w:rsidP="00AF1598">
      <w:pPr>
        <w:tabs>
          <w:tab w:val="left" w:pos="765"/>
          <w:tab w:val="center" w:pos="4680"/>
        </w:tabs>
        <w:spacing w:after="0"/>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0C73DE">
        <w:rPr>
          <w:rFonts w:ascii="Times New Roman" w:hAnsi="Times New Roman" w:cs="Times New Roman"/>
          <w:b/>
          <w:bCs/>
          <w:sz w:val="24"/>
          <w:szCs w:val="24"/>
        </w:rPr>
        <w:t>ABILORO Kayode Peter</w:t>
      </w:r>
    </w:p>
    <w:p w14:paraId="0CB62686" w14:textId="77777777" w:rsidR="00286370" w:rsidRPr="000C73DE" w:rsidRDefault="00286370" w:rsidP="00286370">
      <w:pPr>
        <w:spacing w:after="0"/>
        <w:jc w:val="center"/>
        <w:rPr>
          <w:rFonts w:ascii="Times New Roman" w:hAnsi="Times New Roman" w:cs="Times New Roman"/>
          <w:sz w:val="24"/>
          <w:szCs w:val="24"/>
        </w:rPr>
      </w:pPr>
      <w:r w:rsidRPr="000E244C">
        <w:rPr>
          <w:rFonts w:ascii="Times New Roman" w:hAnsi="Times New Roman" w:cs="Times New Roman"/>
          <w:sz w:val="24"/>
          <w:szCs w:val="24"/>
        </w:rPr>
        <w:t xml:space="preserve">Department of </w:t>
      </w:r>
      <w:r w:rsidRPr="000E244C">
        <w:rPr>
          <w:rFonts w:ascii="Times New Roman" w:hAnsi="Times New Roman"/>
          <w:sz w:val="24"/>
          <w:szCs w:val="24"/>
        </w:rPr>
        <w:t>Accounting</w:t>
      </w:r>
      <w:r>
        <w:rPr>
          <w:rFonts w:ascii="Times New Roman" w:hAnsi="Times New Roman"/>
          <w:sz w:val="24"/>
          <w:szCs w:val="24"/>
        </w:rPr>
        <w:t>,</w:t>
      </w:r>
      <w:r w:rsidRPr="000E244C">
        <w:rPr>
          <w:rFonts w:ascii="Times New Roman" w:hAnsi="Times New Roman"/>
          <w:sz w:val="24"/>
          <w:szCs w:val="24"/>
        </w:rPr>
        <w:t xml:space="preserve"> Federal</w:t>
      </w:r>
      <w:r w:rsidRPr="000E244C">
        <w:rPr>
          <w:rFonts w:ascii="Times New Roman" w:hAnsi="Times New Roman" w:cs="Times New Roman"/>
          <w:sz w:val="24"/>
          <w:szCs w:val="24"/>
        </w:rPr>
        <w:t xml:space="preserve"> University Oye-Ekiti, Nigeria</w:t>
      </w:r>
    </w:p>
    <w:p w14:paraId="127043E4" w14:textId="77777777" w:rsidR="00286370" w:rsidRDefault="00286370" w:rsidP="000C73DE">
      <w:pPr>
        <w:spacing w:after="0"/>
        <w:jc w:val="center"/>
        <w:rPr>
          <w:rFonts w:ascii="Times New Roman" w:hAnsi="Times New Roman" w:cs="Times New Roman"/>
          <w:b/>
          <w:bCs/>
          <w:sz w:val="24"/>
          <w:szCs w:val="24"/>
        </w:rPr>
      </w:pPr>
    </w:p>
    <w:p w14:paraId="26790F11" w14:textId="46F74515" w:rsidR="00286370" w:rsidRDefault="00286370" w:rsidP="000C73DE">
      <w:pPr>
        <w:spacing w:after="0"/>
        <w:jc w:val="center"/>
        <w:rPr>
          <w:rFonts w:ascii="Times New Roman" w:hAnsi="Times New Roman" w:cs="Times New Roman"/>
          <w:b/>
          <w:bCs/>
          <w:sz w:val="24"/>
          <w:szCs w:val="24"/>
        </w:rPr>
      </w:pPr>
      <w:r>
        <w:rPr>
          <w:rFonts w:ascii="Times New Roman" w:hAnsi="Times New Roman" w:cs="Times New Roman"/>
          <w:b/>
          <w:bCs/>
          <w:sz w:val="24"/>
          <w:szCs w:val="24"/>
        </w:rPr>
        <w:t>OLANIYAN Niyi Oladipo</w:t>
      </w:r>
    </w:p>
    <w:p w14:paraId="193EFD90" w14:textId="76971C63" w:rsidR="000C73DE" w:rsidRPr="00AF1598" w:rsidRDefault="00286370" w:rsidP="00AF1598">
      <w:pPr>
        <w:spacing w:after="0"/>
        <w:jc w:val="center"/>
        <w:rPr>
          <w:rFonts w:ascii="Times New Roman" w:hAnsi="Times New Roman" w:cs="Times New Roman"/>
          <w:sz w:val="24"/>
          <w:szCs w:val="24"/>
        </w:rPr>
      </w:pPr>
      <w:r w:rsidRPr="000E244C">
        <w:rPr>
          <w:rFonts w:ascii="Times New Roman" w:hAnsi="Times New Roman" w:cs="Times New Roman"/>
          <w:sz w:val="24"/>
          <w:szCs w:val="24"/>
        </w:rPr>
        <w:t xml:space="preserve">Department of </w:t>
      </w:r>
      <w:r w:rsidRPr="000E244C">
        <w:rPr>
          <w:rFonts w:ascii="Times New Roman" w:hAnsi="Times New Roman"/>
          <w:sz w:val="24"/>
          <w:szCs w:val="24"/>
        </w:rPr>
        <w:t>Accounting</w:t>
      </w:r>
      <w:r>
        <w:rPr>
          <w:rFonts w:ascii="Times New Roman" w:hAnsi="Times New Roman"/>
          <w:sz w:val="24"/>
          <w:szCs w:val="24"/>
        </w:rPr>
        <w:t>,</w:t>
      </w:r>
      <w:r w:rsidRPr="000E244C">
        <w:rPr>
          <w:rFonts w:ascii="Times New Roman" w:hAnsi="Times New Roman"/>
          <w:sz w:val="24"/>
          <w:szCs w:val="24"/>
        </w:rPr>
        <w:t xml:space="preserve"> Federal</w:t>
      </w:r>
      <w:r w:rsidRPr="000E244C">
        <w:rPr>
          <w:rFonts w:ascii="Times New Roman" w:hAnsi="Times New Roman" w:cs="Times New Roman"/>
          <w:sz w:val="24"/>
          <w:szCs w:val="24"/>
        </w:rPr>
        <w:t xml:space="preserve"> University Oye-Ekiti, Nigeria</w:t>
      </w:r>
    </w:p>
    <w:p w14:paraId="07A7F002" w14:textId="4A3E2A41" w:rsidR="002847A9" w:rsidRPr="00061566" w:rsidRDefault="002847A9" w:rsidP="002847A9">
      <w:pPr>
        <w:jc w:val="both"/>
        <w:rPr>
          <w:rFonts w:ascii="Times New Roman" w:hAnsi="Times New Roman" w:cs="Times New Roman"/>
          <w:b/>
          <w:bCs/>
          <w:sz w:val="24"/>
          <w:szCs w:val="24"/>
        </w:rPr>
      </w:pPr>
      <w:r w:rsidRPr="00061566">
        <w:rPr>
          <w:rFonts w:ascii="Times New Roman" w:hAnsi="Times New Roman" w:cs="Times New Roman"/>
          <w:b/>
          <w:bCs/>
          <w:sz w:val="24"/>
          <w:szCs w:val="24"/>
        </w:rPr>
        <w:t>Abstract</w:t>
      </w:r>
    </w:p>
    <w:p w14:paraId="68A03A22" w14:textId="4C4B985F" w:rsidR="002E120C" w:rsidRPr="002E120C" w:rsidRDefault="002E120C" w:rsidP="002E120C">
      <w:pPr>
        <w:jc w:val="both"/>
        <w:rPr>
          <w:rFonts w:ascii="Times New Roman" w:hAnsi="Times New Roman" w:cs="Times New Roman"/>
          <w:i/>
          <w:iCs/>
          <w:sz w:val="24"/>
          <w:szCs w:val="24"/>
        </w:rPr>
      </w:pPr>
      <w:r w:rsidRPr="002E120C">
        <w:rPr>
          <w:rFonts w:ascii="Times New Roman" w:hAnsi="Times New Roman" w:cs="Times New Roman"/>
          <w:i/>
          <w:iCs/>
          <w:sz w:val="24"/>
          <w:szCs w:val="24"/>
        </w:rPr>
        <w:t xml:space="preserve">This research studied the link between capital structure and financial performance of Nigerian manufacturers. It evaluated the nexus between total debt and financial performance of listed manufacturing companies in Nigeria, the nexus between equity and financial performance of listed manufacturing firms in </w:t>
      </w:r>
      <w:r w:rsidR="007C621E" w:rsidRPr="002E120C">
        <w:rPr>
          <w:rFonts w:ascii="Times New Roman" w:hAnsi="Times New Roman" w:cs="Times New Roman"/>
          <w:i/>
          <w:iCs/>
          <w:sz w:val="24"/>
          <w:szCs w:val="24"/>
        </w:rPr>
        <w:t>Nigeria</w:t>
      </w:r>
      <w:r w:rsidR="007C621E">
        <w:rPr>
          <w:rFonts w:ascii="Times New Roman" w:hAnsi="Times New Roman" w:cs="Times New Roman"/>
          <w:i/>
          <w:iCs/>
          <w:sz w:val="24"/>
          <w:szCs w:val="24"/>
        </w:rPr>
        <w:t>. Stock</w:t>
      </w:r>
      <w:r w:rsidR="003713C7">
        <w:rPr>
          <w:rFonts w:ascii="Times New Roman" w:hAnsi="Times New Roman" w:cs="Times New Roman"/>
          <w:i/>
          <w:iCs/>
          <w:sz w:val="24"/>
          <w:szCs w:val="24"/>
        </w:rPr>
        <w:t xml:space="preserve"> Exchange</w:t>
      </w:r>
      <w:r w:rsidRPr="002E120C">
        <w:rPr>
          <w:rFonts w:ascii="Times New Roman" w:hAnsi="Times New Roman" w:cs="Times New Roman"/>
          <w:i/>
          <w:iCs/>
          <w:sz w:val="24"/>
          <w:szCs w:val="24"/>
        </w:rPr>
        <w:t>.</w:t>
      </w:r>
    </w:p>
    <w:p w14:paraId="65E31E7D" w14:textId="5A601627" w:rsidR="002E120C" w:rsidRPr="002E120C" w:rsidRDefault="002E120C" w:rsidP="002E120C">
      <w:pPr>
        <w:jc w:val="both"/>
        <w:rPr>
          <w:rFonts w:ascii="Times New Roman" w:hAnsi="Times New Roman" w:cs="Times New Roman"/>
          <w:i/>
          <w:iCs/>
          <w:sz w:val="24"/>
          <w:szCs w:val="24"/>
        </w:rPr>
      </w:pPr>
      <w:r w:rsidRPr="002E120C">
        <w:rPr>
          <w:rFonts w:ascii="Times New Roman" w:hAnsi="Times New Roman" w:cs="Times New Roman"/>
          <w:i/>
          <w:iCs/>
          <w:sz w:val="24"/>
          <w:szCs w:val="24"/>
        </w:rPr>
        <w:t>The study used ex-post-facto data to investigate variable relationships. Nigerian manufacturing firms were studied. The data was taken from the company's (20</w:t>
      </w:r>
      <w:r w:rsidR="00C51E27">
        <w:rPr>
          <w:rFonts w:ascii="Times New Roman" w:hAnsi="Times New Roman" w:cs="Times New Roman"/>
          <w:i/>
          <w:iCs/>
          <w:sz w:val="24"/>
          <w:szCs w:val="24"/>
        </w:rPr>
        <w:t>10</w:t>
      </w:r>
      <w:r w:rsidRPr="002E120C">
        <w:rPr>
          <w:rFonts w:ascii="Times New Roman" w:hAnsi="Times New Roman" w:cs="Times New Roman"/>
          <w:i/>
          <w:iCs/>
          <w:sz w:val="24"/>
          <w:szCs w:val="24"/>
        </w:rPr>
        <w:t>-2020). Both descriptive and inferential statistics, such as Pearson correlation and panel regression, were used to examine the data.</w:t>
      </w:r>
    </w:p>
    <w:p w14:paraId="55159014" w14:textId="06495C2C" w:rsidR="002E120C" w:rsidRPr="002E120C" w:rsidRDefault="007C621E" w:rsidP="002E120C">
      <w:pPr>
        <w:jc w:val="both"/>
        <w:rPr>
          <w:rFonts w:ascii="Times New Roman" w:hAnsi="Times New Roman" w:cs="Times New Roman"/>
          <w:i/>
          <w:iCs/>
          <w:sz w:val="24"/>
          <w:szCs w:val="24"/>
        </w:rPr>
      </w:pPr>
      <w:r>
        <w:rPr>
          <w:rFonts w:ascii="Times New Roman" w:hAnsi="Times New Roman" w:cs="Times New Roman"/>
          <w:i/>
          <w:iCs/>
          <w:sz w:val="24"/>
          <w:szCs w:val="24"/>
        </w:rPr>
        <w:t xml:space="preserve">The result of the findings revealed that </w:t>
      </w:r>
      <w:r w:rsidR="002E120C" w:rsidRPr="002E120C">
        <w:rPr>
          <w:rFonts w:ascii="Times New Roman" w:hAnsi="Times New Roman" w:cs="Times New Roman"/>
          <w:i/>
          <w:iCs/>
          <w:sz w:val="24"/>
          <w:szCs w:val="24"/>
        </w:rPr>
        <w:t xml:space="preserve">Return on equity, equity capital has a substantial influence on the performance of Nigerian manufacturing companies. </w:t>
      </w:r>
      <w:r>
        <w:rPr>
          <w:rFonts w:ascii="Times New Roman" w:hAnsi="Times New Roman" w:cs="Times New Roman"/>
          <w:i/>
          <w:iCs/>
          <w:sz w:val="24"/>
          <w:szCs w:val="24"/>
        </w:rPr>
        <w:t>4</w:t>
      </w:r>
      <w:r w:rsidR="002E120C" w:rsidRPr="002E120C">
        <w:rPr>
          <w:rFonts w:ascii="Times New Roman" w:hAnsi="Times New Roman" w:cs="Times New Roman"/>
          <w:i/>
          <w:iCs/>
          <w:sz w:val="24"/>
          <w:szCs w:val="24"/>
        </w:rPr>
        <w:t>.</w:t>
      </w:r>
      <w:r>
        <w:rPr>
          <w:rFonts w:ascii="Times New Roman" w:hAnsi="Times New Roman" w:cs="Times New Roman"/>
          <w:i/>
          <w:iCs/>
          <w:sz w:val="24"/>
          <w:szCs w:val="24"/>
        </w:rPr>
        <w:t>631</w:t>
      </w:r>
      <w:r w:rsidR="002E120C" w:rsidRPr="002E120C">
        <w:rPr>
          <w:rFonts w:ascii="Times New Roman" w:hAnsi="Times New Roman" w:cs="Times New Roman"/>
          <w:i/>
          <w:iCs/>
          <w:sz w:val="24"/>
          <w:szCs w:val="24"/>
        </w:rPr>
        <w:t xml:space="preserve"> and 0.</w:t>
      </w:r>
      <w:r w:rsidR="009C7163">
        <w:rPr>
          <w:rFonts w:ascii="Times New Roman" w:hAnsi="Times New Roman" w:cs="Times New Roman"/>
          <w:i/>
          <w:iCs/>
          <w:sz w:val="24"/>
          <w:szCs w:val="24"/>
        </w:rPr>
        <w:t>71</w:t>
      </w:r>
      <w:r w:rsidR="002E120C" w:rsidRPr="002E120C">
        <w:rPr>
          <w:rFonts w:ascii="Times New Roman" w:hAnsi="Times New Roman" w:cs="Times New Roman"/>
          <w:i/>
          <w:iCs/>
          <w:sz w:val="24"/>
          <w:szCs w:val="24"/>
        </w:rPr>
        <w:t xml:space="preserve"> Total debt assessed by asset debt-to-equity ratio has no influence on stock market performance (p&gt;0.</w:t>
      </w:r>
      <w:r w:rsidR="009C7163">
        <w:rPr>
          <w:rFonts w:ascii="Times New Roman" w:hAnsi="Times New Roman" w:cs="Times New Roman"/>
          <w:i/>
          <w:iCs/>
          <w:sz w:val="24"/>
          <w:szCs w:val="24"/>
        </w:rPr>
        <w:t>3421</w:t>
      </w:r>
      <w:r w:rsidR="002E120C" w:rsidRPr="002E120C">
        <w:rPr>
          <w:rFonts w:ascii="Times New Roman" w:hAnsi="Times New Roman" w:cs="Times New Roman"/>
          <w:i/>
          <w:iCs/>
          <w:sz w:val="24"/>
          <w:szCs w:val="24"/>
        </w:rPr>
        <w:t xml:space="preserve">). return on equity has a positive significant influence on financial performance of Nigerian manufacturing firms by </w:t>
      </w:r>
      <w:r w:rsidR="009C7163">
        <w:rPr>
          <w:rFonts w:ascii="Times New Roman" w:hAnsi="Times New Roman" w:cs="Times New Roman"/>
          <w:i/>
          <w:iCs/>
          <w:sz w:val="24"/>
          <w:szCs w:val="24"/>
        </w:rPr>
        <w:t>5.421</w:t>
      </w:r>
      <w:r w:rsidR="002E120C" w:rsidRPr="002E120C">
        <w:rPr>
          <w:rFonts w:ascii="Times New Roman" w:hAnsi="Times New Roman" w:cs="Times New Roman"/>
          <w:i/>
          <w:iCs/>
          <w:sz w:val="24"/>
          <w:szCs w:val="24"/>
        </w:rPr>
        <w:t xml:space="preserve"> (p=0.05) and 0.</w:t>
      </w:r>
      <w:r w:rsidR="009C7163">
        <w:rPr>
          <w:rFonts w:ascii="Times New Roman" w:hAnsi="Times New Roman" w:cs="Times New Roman"/>
          <w:i/>
          <w:iCs/>
          <w:sz w:val="24"/>
          <w:szCs w:val="24"/>
        </w:rPr>
        <w:t>213</w:t>
      </w:r>
      <w:r w:rsidR="002E120C" w:rsidRPr="002E120C">
        <w:rPr>
          <w:rFonts w:ascii="Times New Roman" w:hAnsi="Times New Roman" w:cs="Times New Roman"/>
          <w:i/>
          <w:iCs/>
          <w:sz w:val="24"/>
          <w:szCs w:val="24"/>
        </w:rPr>
        <w:t xml:space="preserve"> (p=0.05); long-term debt also has a positive significant effect.</w:t>
      </w:r>
    </w:p>
    <w:p w14:paraId="597F0797" w14:textId="374533F8" w:rsidR="002847A9" w:rsidRPr="00061566" w:rsidRDefault="002E120C" w:rsidP="002E120C">
      <w:pPr>
        <w:jc w:val="both"/>
        <w:rPr>
          <w:rFonts w:ascii="Times New Roman" w:hAnsi="Times New Roman" w:cs="Times New Roman"/>
          <w:sz w:val="24"/>
          <w:szCs w:val="24"/>
        </w:rPr>
      </w:pPr>
      <w:r w:rsidRPr="002E120C">
        <w:rPr>
          <w:rFonts w:ascii="Times New Roman" w:hAnsi="Times New Roman" w:cs="Times New Roman"/>
          <w:i/>
          <w:iCs/>
          <w:sz w:val="24"/>
          <w:szCs w:val="24"/>
        </w:rPr>
        <w:t>The study found that equity capital, total debt, and long-term debt have the potential to positively and significantly influence the financial performance of manufacturing firms in Nigeria, whereas short term debt has the potential to positively and insignificantly influence financial performance. Total asset has the potential to positively and significantly influence financial performance.</w:t>
      </w:r>
    </w:p>
    <w:p w14:paraId="7953004C" w14:textId="77777777" w:rsidR="002847A9" w:rsidRPr="00061566" w:rsidRDefault="002847A9" w:rsidP="002847A9">
      <w:pPr>
        <w:jc w:val="both"/>
        <w:rPr>
          <w:rFonts w:ascii="Times New Roman" w:hAnsi="Times New Roman" w:cs="Times New Roman"/>
          <w:sz w:val="24"/>
          <w:szCs w:val="24"/>
        </w:rPr>
      </w:pPr>
    </w:p>
    <w:p w14:paraId="003F58A7" w14:textId="77777777" w:rsidR="002847A9" w:rsidRPr="00061566" w:rsidRDefault="002847A9" w:rsidP="002847A9">
      <w:pPr>
        <w:jc w:val="both"/>
        <w:rPr>
          <w:rFonts w:ascii="Times New Roman" w:hAnsi="Times New Roman" w:cs="Times New Roman"/>
          <w:sz w:val="24"/>
          <w:szCs w:val="24"/>
        </w:rPr>
      </w:pPr>
    </w:p>
    <w:p w14:paraId="1938A7A8" w14:textId="77777777" w:rsidR="002847A9" w:rsidRPr="00061566" w:rsidRDefault="002847A9" w:rsidP="002847A9">
      <w:pPr>
        <w:jc w:val="both"/>
        <w:rPr>
          <w:rFonts w:ascii="Times New Roman" w:hAnsi="Times New Roman" w:cs="Times New Roman"/>
          <w:sz w:val="24"/>
          <w:szCs w:val="24"/>
        </w:rPr>
      </w:pPr>
    </w:p>
    <w:p w14:paraId="2D849939" w14:textId="77777777" w:rsidR="002847A9" w:rsidRPr="00061566" w:rsidRDefault="002847A9" w:rsidP="002847A9">
      <w:pPr>
        <w:jc w:val="both"/>
        <w:rPr>
          <w:rFonts w:ascii="Times New Roman" w:hAnsi="Times New Roman" w:cs="Times New Roman"/>
          <w:sz w:val="24"/>
          <w:szCs w:val="24"/>
        </w:rPr>
      </w:pPr>
    </w:p>
    <w:p w14:paraId="52F6E299" w14:textId="77777777" w:rsidR="002847A9" w:rsidRPr="00061566" w:rsidRDefault="002847A9" w:rsidP="002847A9">
      <w:pPr>
        <w:jc w:val="both"/>
        <w:rPr>
          <w:rFonts w:ascii="Times New Roman" w:hAnsi="Times New Roman" w:cs="Times New Roman"/>
          <w:sz w:val="24"/>
          <w:szCs w:val="24"/>
        </w:rPr>
      </w:pPr>
    </w:p>
    <w:p w14:paraId="44C6CD4A" w14:textId="77777777" w:rsidR="002847A9" w:rsidRPr="00061566" w:rsidRDefault="002847A9" w:rsidP="002847A9">
      <w:pPr>
        <w:jc w:val="both"/>
        <w:rPr>
          <w:rFonts w:ascii="Times New Roman" w:hAnsi="Times New Roman" w:cs="Times New Roman"/>
          <w:sz w:val="24"/>
          <w:szCs w:val="24"/>
        </w:rPr>
      </w:pPr>
    </w:p>
    <w:p w14:paraId="3AF5D858" w14:textId="0D6DD5FD" w:rsidR="002847A9" w:rsidRPr="00061566" w:rsidRDefault="00864C4D" w:rsidP="002847A9">
      <w:pPr>
        <w:jc w:val="both"/>
        <w:rPr>
          <w:rFonts w:ascii="Times New Roman" w:hAnsi="Times New Roman" w:cs="Times New Roman"/>
          <w:b/>
          <w:bCs/>
          <w:sz w:val="24"/>
          <w:szCs w:val="24"/>
        </w:rPr>
      </w:pPr>
      <w:r w:rsidRPr="00061566">
        <w:rPr>
          <w:rFonts w:ascii="Times New Roman" w:hAnsi="Times New Roman" w:cs="Times New Roman"/>
          <w:b/>
          <w:bCs/>
          <w:sz w:val="24"/>
          <w:szCs w:val="24"/>
        </w:rPr>
        <w:t>Introduction</w:t>
      </w:r>
    </w:p>
    <w:p w14:paraId="6A32EF5E" w14:textId="5BAAE177" w:rsidR="002E120C" w:rsidRPr="002E120C" w:rsidRDefault="002E120C" w:rsidP="002E120C">
      <w:pPr>
        <w:jc w:val="both"/>
        <w:rPr>
          <w:rFonts w:ascii="Times New Roman" w:hAnsi="Times New Roman" w:cs="Times New Roman"/>
          <w:sz w:val="24"/>
          <w:szCs w:val="24"/>
        </w:rPr>
      </w:pPr>
      <w:r w:rsidRPr="002E120C">
        <w:rPr>
          <w:rFonts w:ascii="Times New Roman" w:hAnsi="Times New Roman" w:cs="Times New Roman"/>
          <w:sz w:val="24"/>
          <w:szCs w:val="24"/>
        </w:rPr>
        <w:t xml:space="preserve">The nation's economic development and the general population's level of life are directly influenced by the manufacturing companies. Manufacturing companies not only help to lower the nation's unemployment rate but also contribute significantly to the country's overall economic growth. Other types of companies rely on manufacturers to provide them with the raw materials, equipment, and machinery that they need to operate. This is especially true of manufacturers that make </w:t>
      </w:r>
      <w:r w:rsidR="003713C7">
        <w:rPr>
          <w:rFonts w:ascii="Times New Roman" w:hAnsi="Times New Roman" w:cs="Times New Roman"/>
          <w:sz w:val="24"/>
          <w:szCs w:val="24"/>
        </w:rPr>
        <w:t>manufacturing</w:t>
      </w:r>
      <w:r w:rsidRPr="002E120C">
        <w:rPr>
          <w:rFonts w:ascii="Times New Roman" w:hAnsi="Times New Roman" w:cs="Times New Roman"/>
          <w:sz w:val="24"/>
          <w:szCs w:val="24"/>
        </w:rPr>
        <w:t xml:space="preserve"> items. Businesses that are involved in manufacturing are prospering in Nigeria, which is seeing an increase in the total number of companies operating in this sector (Ajibola, Wisdom &amp; </w:t>
      </w:r>
      <w:proofErr w:type="spellStart"/>
      <w:r w:rsidRPr="002E120C">
        <w:rPr>
          <w:rFonts w:ascii="Times New Roman" w:hAnsi="Times New Roman" w:cs="Times New Roman"/>
          <w:sz w:val="24"/>
          <w:szCs w:val="24"/>
        </w:rPr>
        <w:t>Qudus</w:t>
      </w:r>
      <w:proofErr w:type="spellEnd"/>
      <w:r w:rsidRPr="002E120C">
        <w:rPr>
          <w:rFonts w:ascii="Times New Roman" w:hAnsi="Times New Roman" w:cs="Times New Roman"/>
          <w:sz w:val="24"/>
          <w:szCs w:val="24"/>
        </w:rPr>
        <w:t>, 2018). Because manufacturing firms play such an important role in the economy of the nation, several stakeholders, including the government, consumers, investors, and even researchers, are interested about the performance of manufacturing companies, particularly their financial performance.</w:t>
      </w:r>
    </w:p>
    <w:p w14:paraId="3F15DA11" w14:textId="77777777" w:rsidR="002E120C" w:rsidRPr="002E120C" w:rsidRDefault="002E120C" w:rsidP="002E120C">
      <w:pPr>
        <w:jc w:val="both"/>
        <w:rPr>
          <w:rFonts w:ascii="Times New Roman" w:hAnsi="Times New Roman" w:cs="Times New Roman"/>
          <w:sz w:val="24"/>
          <w:szCs w:val="24"/>
        </w:rPr>
      </w:pPr>
      <w:r w:rsidRPr="002E120C">
        <w:rPr>
          <w:rFonts w:ascii="Times New Roman" w:hAnsi="Times New Roman" w:cs="Times New Roman"/>
          <w:sz w:val="24"/>
          <w:szCs w:val="24"/>
        </w:rPr>
        <w:t xml:space="preserve">The term "financial performance" refers to the state of an organization as a whole as well as the returns generated from its combined resources that are put to use in its day-to-day operations. According to </w:t>
      </w:r>
      <w:proofErr w:type="spellStart"/>
      <w:r w:rsidRPr="002E120C">
        <w:rPr>
          <w:rFonts w:ascii="Times New Roman" w:hAnsi="Times New Roman" w:cs="Times New Roman"/>
          <w:sz w:val="24"/>
          <w:szCs w:val="24"/>
        </w:rPr>
        <w:t>Bilafif</w:t>
      </w:r>
      <w:proofErr w:type="spellEnd"/>
      <w:r w:rsidRPr="002E120C">
        <w:rPr>
          <w:rFonts w:ascii="Times New Roman" w:hAnsi="Times New Roman" w:cs="Times New Roman"/>
          <w:sz w:val="24"/>
          <w:szCs w:val="24"/>
        </w:rPr>
        <w:t xml:space="preserve"> and Ibrahim (2019), the definition of "financial performance" is "the effective use of resources to fulfill specified objectives, which results in a desirable growth in profitability indices." [Citation needed] A quantitative depiction of the quantity, cost, or outcome of operations that demonstrates how well or badly a firm does financially in this research is referred to as the financial performance of the company. Analyzing a company's financial performance often involves looking at a number of different measures, including return on asset (ROA), TOBIN's Q, return on investment (ROI), return on equity (ROE), and earnings per share (EPS). On the other hand, it would be preferable to get returns on assets and equity.</w:t>
      </w:r>
    </w:p>
    <w:p w14:paraId="0759D4D9" w14:textId="10470B38" w:rsidR="002E120C" w:rsidRPr="002E120C" w:rsidRDefault="002E120C" w:rsidP="002E120C">
      <w:pPr>
        <w:jc w:val="both"/>
        <w:rPr>
          <w:rFonts w:ascii="Times New Roman" w:hAnsi="Times New Roman" w:cs="Times New Roman"/>
          <w:sz w:val="24"/>
          <w:szCs w:val="24"/>
        </w:rPr>
      </w:pPr>
      <w:r w:rsidRPr="002E120C">
        <w:rPr>
          <w:rFonts w:ascii="Times New Roman" w:hAnsi="Times New Roman" w:cs="Times New Roman"/>
          <w:sz w:val="24"/>
          <w:szCs w:val="24"/>
        </w:rPr>
        <w:t>When the primary objective of managers is to maximize shareholder value, the capital structure of the company is often considered as a crucial choice that financial managers need to make when establishing the proper financing mix for their firms. As a direct result of this, the researcher is interested in the impact that the composition of capital has on the financial performance of Nigerian companies.</w:t>
      </w:r>
    </w:p>
    <w:p w14:paraId="722F67E6" w14:textId="01C8D2AE" w:rsidR="002E120C" w:rsidRPr="002E120C" w:rsidRDefault="002E120C" w:rsidP="002E120C">
      <w:pPr>
        <w:jc w:val="both"/>
        <w:rPr>
          <w:rFonts w:ascii="Times New Roman" w:hAnsi="Times New Roman" w:cs="Times New Roman"/>
          <w:sz w:val="24"/>
          <w:szCs w:val="24"/>
        </w:rPr>
      </w:pPr>
      <w:r w:rsidRPr="002E120C">
        <w:rPr>
          <w:rFonts w:ascii="Times New Roman" w:hAnsi="Times New Roman" w:cs="Times New Roman"/>
          <w:sz w:val="24"/>
          <w:szCs w:val="24"/>
        </w:rPr>
        <w:t>Both microeconomic (those that are particular to an individual company) and macroeconomic (those that affect the whole economy) factors contribute to the overall economic health of a country. As a consequence of this, the major purpose of this study is to investigate the ways in which the capital structure of businesses in Nigeria affects the performance of such businesses. There has been a lot of study done on how a corporation's financial performance is affected by the capital structure of the company. There has been a lot of study done on how a corporation's financial performance is affected by the capital structure of the company.</w:t>
      </w:r>
    </w:p>
    <w:p w14:paraId="57568B93" w14:textId="038ADF4F" w:rsidR="00C766B0" w:rsidRPr="00C766B0" w:rsidRDefault="002E120C" w:rsidP="002E120C">
      <w:pPr>
        <w:jc w:val="both"/>
        <w:rPr>
          <w:rFonts w:ascii="Times New Roman" w:hAnsi="Times New Roman" w:cs="Times New Roman"/>
          <w:sz w:val="24"/>
          <w:szCs w:val="24"/>
        </w:rPr>
      </w:pPr>
      <w:r w:rsidRPr="002E120C">
        <w:rPr>
          <w:rFonts w:ascii="Times New Roman" w:hAnsi="Times New Roman" w:cs="Times New Roman"/>
          <w:sz w:val="24"/>
          <w:szCs w:val="24"/>
        </w:rPr>
        <w:t xml:space="preserve">There has been a lot of study done on how a corporation's financial performance is affected by the capital structure of the company. (See </w:t>
      </w:r>
      <w:proofErr w:type="spellStart"/>
      <w:r w:rsidRPr="002E120C">
        <w:rPr>
          <w:rFonts w:ascii="Times New Roman" w:hAnsi="Times New Roman" w:cs="Times New Roman"/>
          <w:sz w:val="24"/>
          <w:szCs w:val="24"/>
        </w:rPr>
        <w:t>Hariandy</w:t>
      </w:r>
      <w:proofErr w:type="spellEnd"/>
      <w:r w:rsidRPr="002E120C">
        <w:rPr>
          <w:rFonts w:ascii="Times New Roman" w:hAnsi="Times New Roman" w:cs="Times New Roman"/>
          <w:sz w:val="24"/>
          <w:szCs w:val="24"/>
        </w:rPr>
        <w:t xml:space="preserve">, 2015; Samuel, 2016; Shen, 2017; Ajibola, Wisdom &amp; </w:t>
      </w:r>
      <w:proofErr w:type="spellStart"/>
      <w:r w:rsidRPr="002E120C">
        <w:rPr>
          <w:rFonts w:ascii="Times New Roman" w:hAnsi="Times New Roman" w:cs="Times New Roman"/>
          <w:sz w:val="24"/>
          <w:szCs w:val="24"/>
        </w:rPr>
        <w:t>Qudus</w:t>
      </w:r>
      <w:proofErr w:type="spellEnd"/>
      <w:r w:rsidRPr="002E120C">
        <w:rPr>
          <w:rFonts w:ascii="Times New Roman" w:hAnsi="Times New Roman" w:cs="Times New Roman"/>
          <w:sz w:val="24"/>
          <w:szCs w:val="24"/>
        </w:rPr>
        <w:t xml:space="preserve">, 2018; Akinleye &amp; Akomolafe, 2019; Nelson &amp; Peter, 2019; Ahmed &amp; Amina, 2019; Olarewaju, 2019; </w:t>
      </w:r>
      <w:proofErr w:type="spellStart"/>
      <w:r w:rsidRPr="002E120C">
        <w:rPr>
          <w:rFonts w:ascii="Times New Roman" w:hAnsi="Times New Roman" w:cs="Times New Roman"/>
          <w:sz w:val="24"/>
          <w:szCs w:val="24"/>
        </w:rPr>
        <w:t>Bilafif</w:t>
      </w:r>
      <w:proofErr w:type="spellEnd"/>
      <w:r w:rsidRPr="002E120C">
        <w:rPr>
          <w:rFonts w:ascii="Times New Roman" w:hAnsi="Times New Roman" w:cs="Times New Roman"/>
          <w:sz w:val="24"/>
          <w:szCs w:val="24"/>
        </w:rPr>
        <w:t xml:space="preserve"> &amp; Ibrahim, 2019; </w:t>
      </w:r>
      <w:proofErr w:type="spellStart"/>
      <w:r w:rsidRPr="002E120C">
        <w:rPr>
          <w:rFonts w:ascii="Times New Roman" w:hAnsi="Times New Roman" w:cs="Times New Roman"/>
          <w:sz w:val="24"/>
          <w:szCs w:val="24"/>
        </w:rPr>
        <w:t>Akpali</w:t>
      </w:r>
      <w:proofErr w:type="spellEnd"/>
      <w:r w:rsidRPr="002E120C">
        <w:rPr>
          <w:rFonts w:ascii="Times New Roman" w:hAnsi="Times New Roman" w:cs="Times New Roman"/>
          <w:sz w:val="24"/>
          <w:szCs w:val="24"/>
        </w:rPr>
        <w:t xml:space="preserve">, 2019; Maryam, Muhammed, Mahmud &amp; Abubakar, 2020; Maryam, Muhammed, Mahmud However, some of the holes need to be filled up. To begin, not one of these investigations, with the only exception of the one that was carried out by, was completed not too long ago employing just organizations that are responsible for the production of </w:t>
      </w:r>
      <w:r w:rsidR="003713C7">
        <w:rPr>
          <w:rFonts w:ascii="Times New Roman" w:hAnsi="Times New Roman" w:cs="Times New Roman"/>
          <w:sz w:val="24"/>
          <w:szCs w:val="24"/>
        </w:rPr>
        <w:t>manufacturing</w:t>
      </w:r>
      <w:r w:rsidRPr="002E120C">
        <w:rPr>
          <w:rFonts w:ascii="Times New Roman" w:hAnsi="Times New Roman" w:cs="Times New Roman"/>
          <w:sz w:val="24"/>
          <w:szCs w:val="24"/>
        </w:rPr>
        <w:t xml:space="preserve"> goods (</w:t>
      </w:r>
      <w:proofErr w:type="spellStart"/>
      <w:r w:rsidRPr="002E120C">
        <w:rPr>
          <w:rFonts w:ascii="Times New Roman" w:hAnsi="Times New Roman" w:cs="Times New Roman"/>
          <w:sz w:val="24"/>
          <w:szCs w:val="24"/>
        </w:rPr>
        <w:t>Temuhale</w:t>
      </w:r>
      <w:proofErr w:type="spellEnd"/>
      <w:r w:rsidRPr="002E120C">
        <w:rPr>
          <w:rFonts w:ascii="Times New Roman" w:hAnsi="Times New Roman" w:cs="Times New Roman"/>
          <w:sz w:val="24"/>
          <w:szCs w:val="24"/>
        </w:rPr>
        <w:t xml:space="preserve"> &amp; </w:t>
      </w:r>
      <w:proofErr w:type="spellStart"/>
      <w:r w:rsidRPr="002E120C">
        <w:rPr>
          <w:rFonts w:ascii="Times New Roman" w:hAnsi="Times New Roman" w:cs="Times New Roman"/>
          <w:sz w:val="24"/>
          <w:szCs w:val="24"/>
        </w:rPr>
        <w:t>Ighoroje</w:t>
      </w:r>
      <w:proofErr w:type="spellEnd"/>
      <w:r w:rsidRPr="002E120C">
        <w:rPr>
          <w:rFonts w:ascii="Times New Roman" w:hAnsi="Times New Roman" w:cs="Times New Roman"/>
          <w:sz w:val="24"/>
          <w:szCs w:val="24"/>
        </w:rPr>
        <w:t>, 2021). This research makes an effort to fulfill a need in the market.</w:t>
      </w:r>
    </w:p>
    <w:p w14:paraId="3083082C" w14:textId="77777777" w:rsidR="003713C7" w:rsidRPr="003713C7" w:rsidRDefault="00C766B0" w:rsidP="003713C7">
      <w:pPr>
        <w:jc w:val="both"/>
        <w:rPr>
          <w:rFonts w:ascii="Times New Roman" w:hAnsi="Times New Roman" w:cs="Times New Roman"/>
          <w:sz w:val="24"/>
          <w:szCs w:val="24"/>
        </w:rPr>
      </w:pPr>
      <w:r w:rsidRPr="003713C7">
        <w:rPr>
          <w:rFonts w:ascii="Times New Roman" w:hAnsi="Times New Roman" w:cs="Times New Roman"/>
          <w:sz w:val="24"/>
          <w:szCs w:val="24"/>
        </w:rPr>
        <w:t xml:space="preserve">The primary purpose of this study is to examine the influence of capital structure on </w:t>
      </w:r>
      <w:r w:rsidR="003713C7" w:rsidRPr="003713C7">
        <w:rPr>
          <w:rFonts w:ascii="Times New Roman" w:hAnsi="Times New Roman" w:cs="Times New Roman"/>
          <w:sz w:val="24"/>
          <w:szCs w:val="24"/>
        </w:rPr>
        <w:t xml:space="preserve">listed manufacturing firm in Nigeria stock exchange </w:t>
      </w:r>
    </w:p>
    <w:p w14:paraId="30E529F7" w14:textId="2DDD5EFF" w:rsidR="003814C7" w:rsidRPr="00061566" w:rsidRDefault="00C766B0" w:rsidP="00C766B0">
      <w:pPr>
        <w:jc w:val="both"/>
        <w:rPr>
          <w:rFonts w:ascii="Times New Roman" w:eastAsia="Times New Roman" w:hAnsi="Times New Roman" w:cs="Times New Roman"/>
          <w:sz w:val="24"/>
          <w:szCs w:val="24"/>
        </w:rPr>
      </w:pPr>
      <w:r w:rsidRPr="00C766B0">
        <w:rPr>
          <w:rFonts w:ascii="Times New Roman" w:hAnsi="Times New Roman" w:cs="Times New Roman"/>
          <w:sz w:val="24"/>
          <w:szCs w:val="24"/>
        </w:rPr>
        <w:t>.</w:t>
      </w:r>
      <w:r w:rsidR="003814C7" w:rsidRPr="00061566">
        <w:rPr>
          <w:rFonts w:ascii="Times New Roman" w:eastAsia="Times New Roman" w:hAnsi="Times New Roman" w:cs="Times New Roman"/>
          <w:sz w:val="24"/>
          <w:szCs w:val="24"/>
        </w:rPr>
        <w:t xml:space="preserve"> The specific objectives are to:</w:t>
      </w:r>
    </w:p>
    <w:p w14:paraId="4DA17A53" w14:textId="3B09E29D" w:rsidR="003814C7" w:rsidRPr="00061566" w:rsidRDefault="002847A9" w:rsidP="002847A9">
      <w:pPr>
        <w:pStyle w:val="ListParagraph"/>
        <w:numPr>
          <w:ilvl w:val="0"/>
          <w:numId w:val="11"/>
        </w:numPr>
        <w:jc w:val="both"/>
        <w:rPr>
          <w:rFonts w:ascii="Times New Roman" w:hAnsi="Times New Roman" w:cs="Times New Roman"/>
          <w:sz w:val="24"/>
          <w:szCs w:val="24"/>
        </w:rPr>
      </w:pPr>
      <w:r w:rsidRPr="00061566">
        <w:rPr>
          <w:rFonts w:ascii="Times New Roman" w:hAnsi="Times New Roman" w:cs="Times New Roman"/>
          <w:sz w:val="24"/>
          <w:szCs w:val="24"/>
        </w:rPr>
        <w:t xml:space="preserve">examine the impact of total debt on the financial performance of </w:t>
      </w:r>
      <w:bookmarkStart w:id="1" w:name="_Hlk104467353"/>
      <w:r w:rsidR="003713C7">
        <w:rPr>
          <w:rFonts w:ascii="Times New Roman" w:hAnsi="Times New Roman" w:cs="Times New Roman"/>
          <w:sz w:val="24"/>
          <w:szCs w:val="24"/>
        </w:rPr>
        <w:t xml:space="preserve">listed manufacturing firm in </w:t>
      </w:r>
      <w:r w:rsidRPr="00061566">
        <w:rPr>
          <w:rFonts w:ascii="Times New Roman" w:hAnsi="Times New Roman" w:cs="Times New Roman"/>
          <w:sz w:val="24"/>
          <w:szCs w:val="24"/>
        </w:rPr>
        <w:t>Nigeria</w:t>
      </w:r>
      <w:r w:rsidR="003713C7">
        <w:rPr>
          <w:rFonts w:ascii="Times New Roman" w:hAnsi="Times New Roman" w:cs="Times New Roman"/>
          <w:sz w:val="24"/>
          <w:szCs w:val="24"/>
        </w:rPr>
        <w:t xml:space="preserve"> stock exchange </w:t>
      </w:r>
    </w:p>
    <w:bookmarkEnd w:id="1"/>
    <w:p w14:paraId="764F869F" w14:textId="77777777" w:rsidR="003713C7" w:rsidRPr="00061566" w:rsidRDefault="002847A9" w:rsidP="003713C7">
      <w:pPr>
        <w:pStyle w:val="ListParagraph"/>
        <w:numPr>
          <w:ilvl w:val="0"/>
          <w:numId w:val="11"/>
        </w:numPr>
        <w:jc w:val="both"/>
        <w:rPr>
          <w:rFonts w:ascii="Times New Roman" w:hAnsi="Times New Roman" w:cs="Times New Roman"/>
          <w:sz w:val="24"/>
          <w:szCs w:val="24"/>
        </w:rPr>
      </w:pPr>
      <w:r w:rsidRPr="003713C7">
        <w:rPr>
          <w:rFonts w:ascii="Times New Roman" w:hAnsi="Times New Roman" w:cs="Times New Roman"/>
          <w:sz w:val="24"/>
          <w:szCs w:val="24"/>
        </w:rPr>
        <w:t xml:space="preserve">investigate the impact of equity on the financial performance of </w:t>
      </w:r>
      <w:r w:rsidR="003713C7">
        <w:rPr>
          <w:rFonts w:ascii="Times New Roman" w:hAnsi="Times New Roman" w:cs="Times New Roman"/>
          <w:sz w:val="24"/>
          <w:szCs w:val="24"/>
        </w:rPr>
        <w:t xml:space="preserve">listed manufacturing firm in </w:t>
      </w:r>
      <w:r w:rsidR="003713C7" w:rsidRPr="00061566">
        <w:rPr>
          <w:rFonts w:ascii="Times New Roman" w:hAnsi="Times New Roman" w:cs="Times New Roman"/>
          <w:sz w:val="24"/>
          <w:szCs w:val="24"/>
        </w:rPr>
        <w:t>Nigeria</w:t>
      </w:r>
      <w:r w:rsidR="003713C7">
        <w:rPr>
          <w:rFonts w:ascii="Times New Roman" w:hAnsi="Times New Roman" w:cs="Times New Roman"/>
          <w:sz w:val="24"/>
          <w:szCs w:val="24"/>
        </w:rPr>
        <w:t xml:space="preserve"> stock exchange </w:t>
      </w:r>
    </w:p>
    <w:p w14:paraId="0CE4E296" w14:textId="77777777" w:rsidR="003713C7" w:rsidRPr="00061566" w:rsidRDefault="002847A9" w:rsidP="003713C7">
      <w:pPr>
        <w:pStyle w:val="ListParagraph"/>
        <w:numPr>
          <w:ilvl w:val="0"/>
          <w:numId w:val="11"/>
        </w:numPr>
        <w:jc w:val="both"/>
        <w:rPr>
          <w:rFonts w:ascii="Times New Roman" w:hAnsi="Times New Roman" w:cs="Times New Roman"/>
          <w:sz w:val="24"/>
          <w:szCs w:val="24"/>
        </w:rPr>
      </w:pPr>
      <w:r w:rsidRPr="003713C7">
        <w:rPr>
          <w:rFonts w:ascii="Times New Roman" w:hAnsi="Times New Roman" w:cs="Times New Roman"/>
          <w:sz w:val="24"/>
          <w:szCs w:val="24"/>
        </w:rPr>
        <w:t xml:space="preserve">evaluate the impact of total assets on the financial performance of </w:t>
      </w:r>
      <w:r w:rsidR="003713C7">
        <w:rPr>
          <w:rFonts w:ascii="Times New Roman" w:hAnsi="Times New Roman" w:cs="Times New Roman"/>
          <w:sz w:val="24"/>
          <w:szCs w:val="24"/>
        </w:rPr>
        <w:t xml:space="preserve">listed manufacturing firm in </w:t>
      </w:r>
      <w:r w:rsidR="003713C7" w:rsidRPr="00061566">
        <w:rPr>
          <w:rFonts w:ascii="Times New Roman" w:hAnsi="Times New Roman" w:cs="Times New Roman"/>
          <w:sz w:val="24"/>
          <w:szCs w:val="24"/>
        </w:rPr>
        <w:t>Nigeria</w:t>
      </w:r>
      <w:r w:rsidR="003713C7">
        <w:rPr>
          <w:rFonts w:ascii="Times New Roman" w:hAnsi="Times New Roman" w:cs="Times New Roman"/>
          <w:sz w:val="24"/>
          <w:szCs w:val="24"/>
        </w:rPr>
        <w:t xml:space="preserve"> stock exchange </w:t>
      </w:r>
    </w:p>
    <w:p w14:paraId="3FB46BD4" w14:textId="77777777" w:rsidR="00BF679E" w:rsidRDefault="00BF679E" w:rsidP="002847A9">
      <w:pPr>
        <w:pStyle w:val="ListParagraph"/>
        <w:numPr>
          <w:ilvl w:val="0"/>
          <w:numId w:val="11"/>
        </w:numPr>
        <w:jc w:val="both"/>
        <w:rPr>
          <w:rFonts w:ascii="Times New Roman" w:hAnsi="Times New Roman" w:cs="Times New Roman"/>
          <w:b/>
          <w:bCs/>
          <w:sz w:val="24"/>
          <w:szCs w:val="24"/>
        </w:rPr>
      </w:pPr>
    </w:p>
    <w:p w14:paraId="27D25505" w14:textId="5749A7BA" w:rsidR="002847A9" w:rsidRPr="00BF679E" w:rsidRDefault="003814C7" w:rsidP="00BF679E">
      <w:pPr>
        <w:jc w:val="both"/>
        <w:rPr>
          <w:rFonts w:ascii="Times New Roman" w:hAnsi="Times New Roman" w:cs="Times New Roman"/>
          <w:b/>
          <w:bCs/>
          <w:sz w:val="24"/>
          <w:szCs w:val="24"/>
        </w:rPr>
      </w:pPr>
      <w:r w:rsidRPr="00BF679E">
        <w:rPr>
          <w:rFonts w:ascii="Times New Roman" w:hAnsi="Times New Roman" w:cs="Times New Roman"/>
          <w:b/>
          <w:bCs/>
          <w:sz w:val="24"/>
          <w:szCs w:val="24"/>
        </w:rPr>
        <w:t>Literature Review</w:t>
      </w:r>
    </w:p>
    <w:p w14:paraId="6814BA58" w14:textId="69E21783" w:rsidR="002847A9" w:rsidRPr="00061566" w:rsidRDefault="002847A9" w:rsidP="002847A9">
      <w:pPr>
        <w:jc w:val="both"/>
        <w:rPr>
          <w:rFonts w:ascii="Times New Roman" w:hAnsi="Times New Roman" w:cs="Times New Roman"/>
          <w:b/>
          <w:bCs/>
          <w:sz w:val="24"/>
          <w:szCs w:val="24"/>
        </w:rPr>
      </w:pPr>
      <w:r w:rsidRPr="00061566">
        <w:rPr>
          <w:rFonts w:ascii="Times New Roman" w:hAnsi="Times New Roman" w:cs="Times New Roman"/>
          <w:b/>
          <w:bCs/>
          <w:sz w:val="24"/>
          <w:szCs w:val="24"/>
        </w:rPr>
        <w:t>Capital Structure</w:t>
      </w:r>
    </w:p>
    <w:p w14:paraId="462F46BE" w14:textId="77777777" w:rsidR="0053645B" w:rsidRPr="0053645B" w:rsidRDefault="0053645B" w:rsidP="0053645B">
      <w:pPr>
        <w:jc w:val="both"/>
        <w:rPr>
          <w:rFonts w:ascii="Times New Roman" w:hAnsi="Times New Roman" w:cs="Times New Roman"/>
          <w:sz w:val="24"/>
          <w:szCs w:val="24"/>
        </w:rPr>
      </w:pPr>
      <w:r w:rsidRPr="0053645B">
        <w:rPr>
          <w:rFonts w:ascii="Times New Roman" w:hAnsi="Times New Roman" w:cs="Times New Roman"/>
          <w:sz w:val="24"/>
          <w:szCs w:val="24"/>
        </w:rPr>
        <w:t xml:space="preserve">A company's financial strength is built on capital. It supports the firm's operations by providing a buffer to engage its activities and unanticipated losses when difficulties develop, allowing the organization to continue operating in a reasonable and practical manner while dealing or resolving problems. </w:t>
      </w:r>
      <w:proofErr w:type="spellStart"/>
      <w:r w:rsidRPr="0053645B">
        <w:rPr>
          <w:rFonts w:ascii="Times New Roman" w:hAnsi="Times New Roman" w:cs="Times New Roman"/>
          <w:sz w:val="24"/>
          <w:szCs w:val="24"/>
        </w:rPr>
        <w:t>Iorpev</w:t>
      </w:r>
      <w:proofErr w:type="spellEnd"/>
      <w:r w:rsidRPr="0053645B">
        <w:rPr>
          <w:rFonts w:ascii="Times New Roman" w:hAnsi="Times New Roman" w:cs="Times New Roman"/>
          <w:sz w:val="24"/>
          <w:szCs w:val="24"/>
        </w:rPr>
        <w:t xml:space="preserve"> and </w:t>
      </w:r>
      <w:proofErr w:type="spellStart"/>
      <w:r w:rsidRPr="0053645B">
        <w:rPr>
          <w:rFonts w:ascii="Times New Roman" w:hAnsi="Times New Roman" w:cs="Times New Roman"/>
          <w:sz w:val="24"/>
          <w:szCs w:val="24"/>
        </w:rPr>
        <w:t>Kwanum</w:t>
      </w:r>
      <w:proofErr w:type="spellEnd"/>
      <w:r w:rsidRPr="0053645B">
        <w:rPr>
          <w:rFonts w:ascii="Times New Roman" w:hAnsi="Times New Roman" w:cs="Times New Roman"/>
          <w:sz w:val="24"/>
          <w:szCs w:val="24"/>
        </w:rPr>
        <w:t xml:space="preserve"> (I2012). The organization continues to reassure stakeholders that it will meet its responsibilities, and that they may have faith in the organization's financial stability. Consumption generates money in the manufacturing process. People, machinery, and money are considered to be factors of production (including the fourth type of information). As a result, each company organization's capital is critical. (2011) Prahalathan and Ranjan</w:t>
      </w:r>
    </w:p>
    <w:p w14:paraId="1EB9B3E7" w14:textId="533AA892" w:rsidR="0053645B" w:rsidRPr="0053645B" w:rsidRDefault="00464C89" w:rsidP="0053645B">
      <w:pPr>
        <w:jc w:val="both"/>
        <w:rPr>
          <w:rFonts w:ascii="Times New Roman" w:hAnsi="Times New Roman" w:cs="Times New Roman"/>
          <w:sz w:val="24"/>
          <w:szCs w:val="24"/>
        </w:rPr>
      </w:pPr>
      <w:r w:rsidRPr="00464C89">
        <w:rPr>
          <w:rFonts w:ascii="Times New Roman" w:hAnsi="Times New Roman" w:cs="Times New Roman"/>
          <w:sz w:val="24"/>
          <w:szCs w:val="24"/>
        </w:rPr>
        <w:t xml:space="preserve">The stock market and long-term debt are the two primary components that make up the capital structure of a firm. Although an organization's level of long-term permanent financing, which can be represented by preference shares, ordinary shares, and debt, may change over the course of its existence, the majority of businesses make it a priority to keep their financial portfolio within a close proximity to the capital structure goal they have set for themselves. </w:t>
      </w:r>
      <w:r w:rsidR="0053645B" w:rsidRPr="0053645B">
        <w:rPr>
          <w:rFonts w:ascii="Times New Roman" w:hAnsi="Times New Roman" w:cs="Times New Roman"/>
          <w:sz w:val="24"/>
          <w:szCs w:val="24"/>
        </w:rPr>
        <w:t xml:space="preserve">(Sunday &amp; Samson, 2019). Commercial businesses must be able to establish different ways for selecting the appropriate components of capital to employ in company operations in order to boost productivity and/or accomplish performance in order for the capital structure to be acceptable and effective. This method should be defined thoroughly by the finance management. after then, the company's financial planning and control </w:t>
      </w:r>
      <w:proofErr w:type="gramStart"/>
      <w:r w:rsidR="0053645B" w:rsidRPr="0053645B">
        <w:rPr>
          <w:rFonts w:ascii="Times New Roman" w:hAnsi="Times New Roman" w:cs="Times New Roman"/>
          <w:sz w:val="24"/>
          <w:szCs w:val="24"/>
        </w:rPr>
        <w:t>The</w:t>
      </w:r>
      <w:proofErr w:type="gramEnd"/>
      <w:r w:rsidR="0053645B" w:rsidRPr="0053645B">
        <w:rPr>
          <w:rFonts w:ascii="Times New Roman" w:hAnsi="Times New Roman" w:cs="Times New Roman"/>
          <w:sz w:val="24"/>
          <w:szCs w:val="24"/>
        </w:rPr>
        <w:t xml:space="preserve"> capacity of the firm to correctly identify sources of finances adequate to support its operations will differentiate between good capital structure management and poor capital structure management (Tian &amp; </w:t>
      </w:r>
      <w:proofErr w:type="spellStart"/>
      <w:r w:rsidR="0053645B" w:rsidRPr="0053645B">
        <w:rPr>
          <w:rFonts w:ascii="Times New Roman" w:hAnsi="Times New Roman" w:cs="Times New Roman"/>
          <w:sz w:val="24"/>
          <w:szCs w:val="24"/>
        </w:rPr>
        <w:t>Zeitun</w:t>
      </w:r>
      <w:proofErr w:type="spellEnd"/>
      <w:r w:rsidR="0053645B" w:rsidRPr="0053645B">
        <w:rPr>
          <w:rFonts w:ascii="Times New Roman" w:hAnsi="Times New Roman" w:cs="Times New Roman"/>
          <w:sz w:val="24"/>
          <w:szCs w:val="24"/>
        </w:rPr>
        <w:t>, 2017).</w:t>
      </w:r>
    </w:p>
    <w:p w14:paraId="55376654" w14:textId="77777777" w:rsidR="0053645B" w:rsidRPr="00DB50C7" w:rsidRDefault="0053645B" w:rsidP="0053645B">
      <w:pPr>
        <w:jc w:val="both"/>
        <w:rPr>
          <w:rFonts w:ascii="Times New Roman" w:hAnsi="Times New Roman" w:cs="Times New Roman"/>
          <w:b/>
          <w:bCs/>
          <w:sz w:val="24"/>
          <w:szCs w:val="24"/>
        </w:rPr>
      </w:pPr>
      <w:r w:rsidRPr="00DB50C7">
        <w:rPr>
          <w:rFonts w:ascii="Times New Roman" w:hAnsi="Times New Roman" w:cs="Times New Roman"/>
          <w:b/>
          <w:bCs/>
          <w:sz w:val="24"/>
          <w:szCs w:val="24"/>
        </w:rPr>
        <w:t>Debt total</w:t>
      </w:r>
    </w:p>
    <w:p w14:paraId="03D61283" w14:textId="77777777" w:rsidR="00464C89" w:rsidRPr="00464C89" w:rsidRDefault="0053645B" w:rsidP="00464C89">
      <w:pPr>
        <w:jc w:val="both"/>
        <w:rPr>
          <w:rFonts w:ascii="Times New Roman" w:hAnsi="Times New Roman" w:cs="Times New Roman"/>
          <w:sz w:val="24"/>
          <w:szCs w:val="24"/>
        </w:rPr>
      </w:pPr>
      <w:r w:rsidRPr="0053645B">
        <w:rPr>
          <w:rFonts w:ascii="Times New Roman" w:hAnsi="Times New Roman" w:cs="Times New Roman"/>
          <w:sz w:val="24"/>
          <w:szCs w:val="24"/>
        </w:rPr>
        <w:t xml:space="preserve">Debt has been theorized by a number of researchers from various perspectives and levels of expertise. To begin, Dare and Sola (2018) defined debt as an organization's borrowing of cash to operate its activities. One of the advantages of using debt as a source of money is that when the loan is paid off, the connection ends and no more responsibilities exist. </w:t>
      </w:r>
      <w:proofErr w:type="spellStart"/>
      <w:r w:rsidRPr="0053645B">
        <w:rPr>
          <w:rFonts w:ascii="Times New Roman" w:hAnsi="Times New Roman" w:cs="Times New Roman"/>
          <w:sz w:val="24"/>
          <w:szCs w:val="24"/>
        </w:rPr>
        <w:t>Onaolapo</w:t>
      </w:r>
      <w:proofErr w:type="spellEnd"/>
      <w:r w:rsidRPr="0053645B">
        <w:rPr>
          <w:rFonts w:ascii="Times New Roman" w:hAnsi="Times New Roman" w:cs="Times New Roman"/>
          <w:sz w:val="24"/>
          <w:szCs w:val="24"/>
        </w:rPr>
        <w:t xml:space="preserve"> and Kajola (2018) confirm this by stating that debt entails borrowing from a third party while maintaining ownership. Debt refers to a contract between a debtor (borrower) and a creditor (lender), which may take the form of leases, bonds, notes, certificates, debentures, and mortgages (Akinleye &amp; </w:t>
      </w:r>
      <w:r w:rsidR="00464C89" w:rsidRPr="00464C89">
        <w:rPr>
          <w:rFonts w:ascii="Times New Roman" w:hAnsi="Times New Roman" w:cs="Times New Roman"/>
          <w:sz w:val="24"/>
          <w:szCs w:val="24"/>
        </w:rPr>
        <w:t>Akomolafe, 2019). As a consequence of this, "total debt" refers to the total amount of money that an organization has borrowed from a third party in order to finance its activities.</w:t>
      </w:r>
    </w:p>
    <w:p w14:paraId="4690E296" w14:textId="77777777" w:rsidR="00464C89" w:rsidRPr="00464C89" w:rsidRDefault="00464C89" w:rsidP="00464C89">
      <w:pPr>
        <w:jc w:val="both"/>
        <w:rPr>
          <w:rFonts w:ascii="Times New Roman" w:hAnsi="Times New Roman" w:cs="Times New Roman"/>
          <w:sz w:val="24"/>
          <w:szCs w:val="24"/>
        </w:rPr>
      </w:pPr>
      <w:r w:rsidRPr="00464C89">
        <w:rPr>
          <w:rFonts w:ascii="Times New Roman" w:hAnsi="Times New Roman" w:cs="Times New Roman"/>
          <w:sz w:val="24"/>
          <w:szCs w:val="24"/>
        </w:rPr>
        <w:t>According to Barbosa and Louri's (2015) research, an increase in total debt makes it possible for companies to borrow money. It opens up the possibility for them to get the necessary finance for their capital investment. An increase in debt has the particular characteristic of imposing a need on the borrower to repay the amount borrowed in addition to interest over a predetermined length of time. The terms of the agreement between the two parties would include a schedule for repayment as well as the rate of interest that the lender is obligated to pay on the total amount that was borrowed. Even if a corporation suffers financial losses and is unable to meet its commitments, it is still financially responsible to its creditors and must pay them (Saad, 2021). Even though they do not control the firm, holders of the company's debt are nevertheless entitled to a portion of the profits that it makes. The debt structure of the corporation can undergo changes in the future. For example, the total amount of debt might be extremely little or very high depending on the situation. When a company's total debt increases, the risk that it poses to its shareholders also increases. On the other hand, if the conditions are right, this might lead to an increase in the company's earnings. (Saad,2021)</w:t>
      </w:r>
    </w:p>
    <w:p w14:paraId="3F517AC5" w14:textId="77777777" w:rsidR="00464C89" w:rsidRPr="00464C89" w:rsidRDefault="00464C89" w:rsidP="00464C89">
      <w:pPr>
        <w:jc w:val="both"/>
        <w:rPr>
          <w:rFonts w:ascii="Times New Roman" w:hAnsi="Times New Roman" w:cs="Times New Roman"/>
          <w:b/>
          <w:bCs/>
          <w:sz w:val="24"/>
          <w:szCs w:val="24"/>
        </w:rPr>
      </w:pPr>
      <w:r w:rsidRPr="00464C89">
        <w:rPr>
          <w:rFonts w:ascii="Times New Roman" w:hAnsi="Times New Roman" w:cs="Times New Roman"/>
          <w:b/>
          <w:bCs/>
          <w:sz w:val="24"/>
          <w:szCs w:val="24"/>
        </w:rPr>
        <w:t>Equity</w:t>
      </w:r>
    </w:p>
    <w:p w14:paraId="4081CCEB" w14:textId="1AFF6D79" w:rsidR="00464C89" w:rsidRDefault="00464C89" w:rsidP="00464C89">
      <w:pPr>
        <w:jc w:val="both"/>
        <w:rPr>
          <w:rFonts w:ascii="Times New Roman" w:hAnsi="Times New Roman" w:cs="Times New Roman"/>
          <w:sz w:val="24"/>
          <w:szCs w:val="24"/>
        </w:rPr>
      </w:pPr>
      <w:r w:rsidRPr="00464C89">
        <w:rPr>
          <w:rFonts w:ascii="Times New Roman" w:hAnsi="Times New Roman" w:cs="Times New Roman"/>
          <w:sz w:val="24"/>
          <w:szCs w:val="24"/>
        </w:rPr>
        <w:t xml:space="preserve">Equity, as defined by Sunday and Samson (2019), is the money that is delivered to a company's regular shareholders after all of the company's short-term and long-term obligations have been met in full. After the resolution of the claims made by preference shareholders, ordinary shareholders have the right to receive returns. The information on the firm is available to all shareholders, and the shareholders' votes give them total control over the activities of the company. According to </w:t>
      </w:r>
      <w:proofErr w:type="spellStart"/>
      <w:r w:rsidRPr="00464C89">
        <w:rPr>
          <w:rFonts w:ascii="Times New Roman" w:hAnsi="Times New Roman" w:cs="Times New Roman"/>
          <w:sz w:val="24"/>
          <w:szCs w:val="24"/>
        </w:rPr>
        <w:t>Warokka</w:t>
      </w:r>
      <w:proofErr w:type="spellEnd"/>
      <w:r w:rsidRPr="00464C89">
        <w:rPr>
          <w:rFonts w:ascii="Times New Roman" w:hAnsi="Times New Roman" w:cs="Times New Roman"/>
          <w:sz w:val="24"/>
          <w:szCs w:val="24"/>
        </w:rPr>
        <w:t xml:space="preserve"> et al</w:t>
      </w:r>
      <w:r w:rsidR="003713C7">
        <w:rPr>
          <w:rFonts w:ascii="Times New Roman" w:hAnsi="Times New Roman" w:cs="Times New Roman"/>
          <w:sz w:val="24"/>
          <w:szCs w:val="24"/>
        </w:rPr>
        <w:t xml:space="preserve"> </w:t>
      </w:r>
      <w:r w:rsidR="006757B9" w:rsidRPr="00464C89">
        <w:rPr>
          <w:rFonts w:ascii="Times New Roman" w:hAnsi="Times New Roman" w:cs="Times New Roman"/>
          <w:sz w:val="24"/>
          <w:szCs w:val="24"/>
        </w:rPr>
        <w:t>research’s</w:t>
      </w:r>
      <w:r w:rsidRPr="00464C89">
        <w:rPr>
          <w:rFonts w:ascii="Times New Roman" w:hAnsi="Times New Roman" w:cs="Times New Roman"/>
          <w:sz w:val="24"/>
          <w:szCs w:val="24"/>
        </w:rPr>
        <w:t xml:space="preserve"> (2020), shareholders, who are also referred to as equity holders, are considered to be partial owners of the firm. Furthermore, they are held responsible for the risk that the company faces since they have residual claims on the assets of the company. According to Akinleye and Akomolafe (2019), equity is a kind of capital that is used by the majority of companies. This form of capital allows the ownership of the firm to be gradually distributed among the shareholders. This is the value that would be returned to the shareholder in the event that all assets were sold off and all obligations were satisfied. According to Barbosa, N., and Louri, M., equity is the value that is allocated to the owners of a corporate organization (2020). It is possible for the corporation to get funds via the sale of shares without being required to return the stocks by a specific date. It is now possible for it to operate without the need of taking out financing. Shareholders have the expectation that they will profit from a company's ongoing operations.</w:t>
      </w:r>
    </w:p>
    <w:p w14:paraId="4B9956D6" w14:textId="4E9F3C58" w:rsidR="0053645B" w:rsidRPr="0053645B" w:rsidRDefault="0053645B" w:rsidP="00464C89">
      <w:pPr>
        <w:jc w:val="both"/>
        <w:rPr>
          <w:rFonts w:ascii="Times New Roman" w:hAnsi="Times New Roman" w:cs="Times New Roman"/>
          <w:sz w:val="24"/>
          <w:szCs w:val="24"/>
        </w:rPr>
      </w:pPr>
      <w:r w:rsidRPr="0053645B">
        <w:rPr>
          <w:rFonts w:ascii="Times New Roman" w:hAnsi="Times New Roman" w:cs="Times New Roman"/>
          <w:sz w:val="24"/>
          <w:szCs w:val="24"/>
        </w:rPr>
        <w:t xml:space="preserve">Capital gains and dividends are two ways that shareholders might benefit from the company's future earnings. Ordinary shareholders, however, have minimal culpability if the company loses money. This indicates that the amount of money they lose is equal to the amount of money they put into the company (Sunday &amp; Samson, 2019). Equity helps a corporation to obtain capital without taking on debt, as described by </w:t>
      </w:r>
      <w:proofErr w:type="spellStart"/>
      <w:r w:rsidRPr="0053645B">
        <w:rPr>
          <w:rFonts w:ascii="Times New Roman" w:hAnsi="Times New Roman" w:cs="Times New Roman"/>
          <w:sz w:val="24"/>
          <w:szCs w:val="24"/>
        </w:rPr>
        <w:t>Oyedokun</w:t>
      </w:r>
      <w:proofErr w:type="spellEnd"/>
      <w:r w:rsidRPr="0053645B">
        <w:rPr>
          <w:rFonts w:ascii="Times New Roman" w:hAnsi="Times New Roman" w:cs="Times New Roman"/>
          <w:sz w:val="24"/>
          <w:szCs w:val="24"/>
        </w:rPr>
        <w:t xml:space="preserve">, Olatunji, and </w:t>
      </w:r>
      <w:proofErr w:type="spellStart"/>
      <w:r w:rsidRPr="0053645B">
        <w:rPr>
          <w:rFonts w:ascii="Times New Roman" w:hAnsi="Times New Roman" w:cs="Times New Roman"/>
          <w:sz w:val="24"/>
          <w:szCs w:val="24"/>
        </w:rPr>
        <w:t>Sanyaolu</w:t>
      </w:r>
      <w:proofErr w:type="spellEnd"/>
      <w:r w:rsidRPr="0053645B">
        <w:rPr>
          <w:rFonts w:ascii="Times New Roman" w:hAnsi="Times New Roman" w:cs="Times New Roman"/>
          <w:sz w:val="24"/>
          <w:szCs w:val="24"/>
        </w:rPr>
        <w:t xml:space="preserve"> (2018). This implies you may buy the fund with your own money instead of paying a set amount. Investors and shareholders are both equity owners (people acquire shares in a business with the hopes of receiving their money back from future earnings). Internal and external equity are both possible sources of capital (Muigai &amp; Murithi, 2017). Internal equity refers to a company's retained earnings that are included in the company's distributable reserves (Taani, 2017). When a company's retained earnings (internal equity) are insufficient for the investment opportunity, external stock is bought.</w:t>
      </w:r>
    </w:p>
    <w:p w14:paraId="54A53C63" w14:textId="44A5B94D" w:rsidR="0053645B" w:rsidRPr="00DB50C7" w:rsidRDefault="00DB50C7" w:rsidP="0053645B">
      <w:pPr>
        <w:jc w:val="both"/>
        <w:rPr>
          <w:rFonts w:ascii="Times New Roman" w:hAnsi="Times New Roman" w:cs="Times New Roman"/>
          <w:b/>
          <w:bCs/>
          <w:sz w:val="24"/>
          <w:szCs w:val="24"/>
        </w:rPr>
      </w:pPr>
      <w:r w:rsidRPr="00DB50C7">
        <w:rPr>
          <w:rFonts w:ascii="Times New Roman" w:hAnsi="Times New Roman" w:cs="Times New Roman"/>
          <w:b/>
          <w:bCs/>
          <w:sz w:val="24"/>
          <w:szCs w:val="24"/>
        </w:rPr>
        <w:t>Financial Performance</w:t>
      </w:r>
    </w:p>
    <w:p w14:paraId="620A8A57" w14:textId="77777777" w:rsidR="0053645B" w:rsidRPr="0053645B" w:rsidRDefault="0053645B" w:rsidP="0053645B">
      <w:pPr>
        <w:jc w:val="both"/>
        <w:rPr>
          <w:rFonts w:ascii="Times New Roman" w:hAnsi="Times New Roman" w:cs="Times New Roman"/>
          <w:sz w:val="24"/>
          <w:szCs w:val="24"/>
        </w:rPr>
      </w:pPr>
      <w:r w:rsidRPr="0053645B">
        <w:rPr>
          <w:rFonts w:ascii="Times New Roman" w:hAnsi="Times New Roman" w:cs="Times New Roman"/>
          <w:sz w:val="24"/>
          <w:szCs w:val="24"/>
        </w:rPr>
        <w:t xml:space="preserve">Performance in practically every aspect of human life has recently attracted more attention. Performance is a subjective notion that may be divided into many categories based on its nature. The concept of performance is multifaceted. Various academics, educators, researchers, and intellectuals have conceptualized performance from various perspectives. Shen (2017), for example, saw performance as both a means to a goal and an end result. He went on to say that performance is a sequence of actions taken over a period of time in order to achieve a desired end or result. He went on to say that the final product may be called performance. Ahmad, et al., (2019) had a similar perspective, claiming that performance is the capacity to distinguish the end effects of organizational operations. Performance, according to </w:t>
      </w:r>
      <w:proofErr w:type="spellStart"/>
      <w:r w:rsidRPr="0053645B">
        <w:rPr>
          <w:rFonts w:ascii="Times New Roman" w:hAnsi="Times New Roman" w:cs="Times New Roman"/>
          <w:sz w:val="24"/>
          <w:szCs w:val="24"/>
        </w:rPr>
        <w:t>Oyedokun</w:t>
      </w:r>
      <w:proofErr w:type="spellEnd"/>
      <w:r w:rsidRPr="0053645B">
        <w:rPr>
          <w:rFonts w:ascii="Times New Roman" w:hAnsi="Times New Roman" w:cs="Times New Roman"/>
          <w:sz w:val="24"/>
          <w:szCs w:val="24"/>
        </w:rPr>
        <w:t xml:space="preserve"> et al (2018), is an organization's meaningful outcomes after efficiently employing various constrained resources. Furthermore, he asserted that performance does not refer to the conclusion or outcome of an activity, but rather to the path taken.</w:t>
      </w:r>
    </w:p>
    <w:p w14:paraId="34B25DD9" w14:textId="77777777" w:rsidR="0011599D" w:rsidRPr="0011599D" w:rsidRDefault="0011599D" w:rsidP="0011599D">
      <w:pPr>
        <w:jc w:val="both"/>
        <w:rPr>
          <w:rFonts w:ascii="Times New Roman" w:hAnsi="Times New Roman" w:cs="Times New Roman"/>
          <w:sz w:val="24"/>
          <w:szCs w:val="24"/>
        </w:rPr>
      </w:pPr>
      <w:r w:rsidRPr="0011599D">
        <w:rPr>
          <w:rFonts w:ascii="Times New Roman" w:hAnsi="Times New Roman" w:cs="Times New Roman"/>
          <w:sz w:val="24"/>
          <w:szCs w:val="24"/>
        </w:rPr>
        <w:t>It is possible to evaluate the level of a company's financial performance by using a variety of different financial indicators, such as return on asset (ROA), TOBIN's Q, return on investment (ROI), return on equity (ROE), earnings per share (EPS), market share (MS), revenue growth (RG), and cost merit. Some of the indicators that should be looked for when measuring performance in non-financial or market-based areas include growth in market share and sales, satisfaction among customers and employees, organizational survival and stability, risk management, stakeholder management, risk management, and productivity, relational and social capital, and behavioral performance. On the other hand, the inquiry that was carried out in order to compile data for this research placed a key emphasis on assessing the performance of Nigerian manufacturing businesses from a financial and accounting perspective.</w:t>
      </w:r>
    </w:p>
    <w:p w14:paraId="39C72ECA" w14:textId="53C5B093" w:rsidR="0011599D" w:rsidRPr="0011599D" w:rsidRDefault="0011599D" w:rsidP="0011599D">
      <w:pPr>
        <w:jc w:val="both"/>
        <w:rPr>
          <w:rFonts w:ascii="Times New Roman" w:hAnsi="Times New Roman" w:cs="Times New Roman"/>
          <w:b/>
          <w:bCs/>
          <w:sz w:val="24"/>
          <w:szCs w:val="24"/>
        </w:rPr>
      </w:pPr>
      <w:r w:rsidRPr="0011599D">
        <w:rPr>
          <w:rFonts w:ascii="Times New Roman" w:hAnsi="Times New Roman" w:cs="Times New Roman"/>
          <w:b/>
          <w:bCs/>
          <w:sz w:val="24"/>
          <w:szCs w:val="24"/>
        </w:rPr>
        <w:t xml:space="preserve">The </w:t>
      </w:r>
      <w:r>
        <w:rPr>
          <w:rFonts w:ascii="Times New Roman" w:hAnsi="Times New Roman" w:cs="Times New Roman"/>
          <w:b/>
          <w:bCs/>
          <w:sz w:val="24"/>
          <w:szCs w:val="24"/>
        </w:rPr>
        <w:t>Return on A</w:t>
      </w:r>
      <w:r w:rsidRPr="0011599D">
        <w:rPr>
          <w:rFonts w:ascii="Times New Roman" w:hAnsi="Times New Roman" w:cs="Times New Roman"/>
          <w:b/>
          <w:bCs/>
          <w:sz w:val="24"/>
          <w:szCs w:val="24"/>
        </w:rPr>
        <w:t>sset</w:t>
      </w:r>
    </w:p>
    <w:p w14:paraId="0A25253A" w14:textId="77777777" w:rsidR="0011599D" w:rsidRDefault="0011599D" w:rsidP="0011599D">
      <w:pPr>
        <w:jc w:val="both"/>
        <w:rPr>
          <w:rFonts w:ascii="Times New Roman" w:hAnsi="Times New Roman" w:cs="Times New Roman"/>
          <w:sz w:val="24"/>
          <w:szCs w:val="24"/>
        </w:rPr>
      </w:pPr>
      <w:r w:rsidRPr="0011599D">
        <w:rPr>
          <w:rFonts w:ascii="Times New Roman" w:hAnsi="Times New Roman" w:cs="Times New Roman"/>
          <w:sz w:val="24"/>
          <w:szCs w:val="24"/>
        </w:rPr>
        <w:t xml:space="preserve">The return on assets of a company is a metric that is primarily concerned with finance and examines both the operational and financial health of the business (Olarewaju, 2019). The ratio that is referred to as the return on assets (ROA) is computed in such a manner that the more productive the use of assets is for the benefit of shareholders, the higher the ratio will be. The capacity of a company to put its resources to good use in order to meet the financial expectations of its shareholders is one of the most important factors in determining whether or not it will be profitable (Abor 2018). Return on assets, often commonly referred to as ROA, is a fundamental measurement of a company's capacity to create profits from its assets and is typically abbreviated as ROA. Return on asset is a financial measure that indicates a company's rate of return in proportion to the value of its assets, as stated by </w:t>
      </w:r>
      <w:proofErr w:type="spellStart"/>
      <w:r w:rsidRPr="0011599D">
        <w:rPr>
          <w:rFonts w:ascii="Times New Roman" w:hAnsi="Times New Roman" w:cs="Times New Roman"/>
          <w:sz w:val="24"/>
          <w:szCs w:val="24"/>
        </w:rPr>
        <w:t>Oyedokun</w:t>
      </w:r>
      <w:proofErr w:type="spellEnd"/>
      <w:r w:rsidRPr="0011599D">
        <w:rPr>
          <w:rFonts w:ascii="Times New Roman" w:hAnsi="Times New Roman" w:cs="Times New Roman"/>
          <w:sz w:val="24"/>
          <w:szCs w:val="24"/>
        </w:rPr>
        <w:t xml:space="preserve"> et al. Return on asset is a financial measure that shows a company's rate of return in proportion to the value of its assets (2018). In other words, the return on asset measure is used to assess how much money a firm makes in proportion to the value of its assets in order to have a better idea of how profitable the company is. It indicates how well a corporation utilizes its resources to achieve the objectives it has set for itself.</w:t>
      </w:r>
    </w:p>
    <w:p w14:paraId="19567977" w14:textId="1CF1FA89" w:rsidR="0053645B" w:rsidRPr="00DB50C7" w:rsidRDefault="0053645B" w:rsidP="0011599D">
      <w:pPr>
        <w:jc w:val="both"/>
        <w:rPr>
          <w:rFonts w:ascii="Times New Roman" w:hAnsi="Times New Roman" w:cs="Times New Roman"/>
          <w:b/>
          <w:bCs/>
          <w:sz w:val="24"/>
          <w:szCs w:val="24"/>
        </w:rPr>
      </w:pPr>
      <w:r w:rsidRPr="00DB50C7">
        <w:rPr>
          <w:rFonts w:ascii="Times New Roman" w:hAnsi="Times New Roman" w:cs="Times New Roman"/>
          <w:b/>
          <w:bCs/>
          <w:sz w:val="24"/>
          <w:szCs w:val="24"/>
        </w:rPr>
        <w:t>R</w:t>
      </w:r>
      <w:r w:rsidR="00DB50C7">
        <w:rPr>
          <w:rFonts w:ascii="Times New Roman" w:hAnsi="Times New Roman" w:cs="Times New Roman"/>
          <w:b/>
          <w:bCs/>
          <w:sz w:val="24"/>
          <w:szCs w:val="24"/>
        </w:rPr>
        <w:t>eturn on Equity</w:t>
      </w:r>
    </w:p>
    <w:p w14:paraId="44481B6E" w14:textId="77777777" w:rsidR="00AE2E14" w:rsidRDefault="00AE2E14" w:rsidP="0053645B">
      <w:pPr>
        <w:jc w:val="both"/>
        <w:rPr>
          <w:rFonts w:ascii="Times New Roman" w:hAnsi="Times New Roman" w:cs="Times New Roman"/>
          <w:sz w:val="24"/>
          <w:szCs w:val="24"/>
        </w:rPr>
      </w:pPr>
      <w:r>
        <w:rPr>
          <w:rFonts w:ascii="Times New Roman" w:hAnsi="Times New Roman" w:cs="Times New Roman"/>
          <w:sz w:val="24"/>
          <w:szCs w:val="24"/>
        </w:rPr>
        <w:t>R</w:t>
      </w:r>
      <w:r w:rsidRPr="00AE2E14">
        <w:rPr>
          <w:rFonts w:ascii="Times New Roman" w:hAnsi="Times New Roman" w:cs="Times New Roman"/>
          <w:sz w:val="24"/>
          <w:szCs w:val="24"/>
        </w:rPr>
        <w:t xml:space="preserve">eturn on equity (ROE) is a metric that is used to evaluate the success of a firm based on the value of its shareholders' equity. To calculate a company's return on equity, just divide its net income by the total amount of equity held by its shareholders. According to Sunday and Samson (2019), ordinary shareholders are concerned about the rate of return gained by an organization in proportion to the quantity of capital given by equity holders, after subtracting the amount that was used to pay other capital suppliers. Return on equity is a common statistic that is used to assess the effectiveness of a business. It goes beyond a simple calculation of profit. ROE is a measurement that may be used to determine the amount of profit that can be attributed to ordinary shareholders in relation to the book value of the investment that they have made in a company, as stated by Ahmad et al (2019). The value of return on equity may be calculated by taking the whole </w:t>
      </w:r>
      <w:proofErr w:type="gramStart"/>
      <w:r w:rsidRPr="00AE2E14">
        <w:rPr>
          <w:rFonts w:ascii="Times New Roman" w:hAnsi="Times New Roman" w:cs="Times New Roman"/>
          <w:sz w:val="24"/>
          <w:szCs w:val="24"/>
        </w:rPr>
        <w:t>amount</w:t>
      </w:r>
      <w:proofErr w:type="gramEnd"/>
      <w:r w:rsidRPr="00AE2E14">
        <w:rPr>
          <w:rFonts w:ascii="Times New Roman" w:hAnsi="Times New Roman" w:cs="Times New Roman"/>
          <w:sz w:val="24"/>
          <w:szCs w:val="24"/>
        </w:rPr>
        <w:t xml:space="preserve"> of net returns that are available to a company's shareholders and dividing that number by the total amount of equity held by those shareholders.</w:t>
      </w:r>
    </w:p>
    <w:p w14:paraId="5ECF414D" w14:textId="599500AF" w:rsidR="00DB50C7" w:rsidRPr="00DB50C7" w:rsidRDefault="00DB50C7" w:rsidP="0053645B">
      <w:pPr>
        <w:jc w:val="both"/>
        <w:rPr>
          <w:rFonts w:ascii="Times New Roman" w:hAnsi="Times New Roman" w:cs="Times New Roman"/>
          <w:b/>
          <w:bCs/>
          <w:sz w:val="24"/>
          <w:szCs w:val="24"/>
        </w:rPr>
      </w:pPr>
      <w:r w:rsidRPr="00DB50C7">
        <w:rPr>
          <w:rFonts w:ascii="Times New Roman" w:hAnsi="Times New Roman" w:cs="Times New Roman"/>
          <w:b/>
          <w:bCs/>
          <w:sz w:val="24"/>
          <w:szCs w:val="24"/>
        </w:rPr>
        <w:t>Theoretical Review</w:t>
      </w:r>
    </w:p>
    <w:p w14:paraId="28587741" w14:textId="046B1AB8" w:rsidR="0053645B" w:rsidRPr="0053645B" w:rsidRDefault="0053645B" w:rsidP="0053645B">
      <w:pPr>
        <w:spacing w:line="480" w:lineRule="auto"/>
        <w:jc w:val="both"/>
        <w:rPr>
          <w:rFonts w:ascii="Times New Roman" w:hAnsi="Times New Roman" w:cs="Times New Roman"/>
          <w:b/>
          <w:bCs/>
          <w:sz w:val="24"/>
          <w:szCs w:val="24"/>
        </w:rPr>
      </w:pPr>
      <w:r w:rsidRPr="0053645B">
        <w:rPr>
          <w:rFonts w:ascii="Times New Roman" w:hAnsi="Times New Roman" w:cs="Times New Roman"/>
          <w:b/>
          <w:bCs/>
          <w:sz w:val="24"/>
          <w:szCs w:val="24"/>
        </w:rPr>
        <w:t>Pecking Order Theory</w:t>
      </w:r>
    </w:p>
    <w:p w14:paraId="64E3B5C1" w14:textId="77777777" w:rsidR="0053645B" w:rsidRPr="0053645B" w:rsidRDefault="0053645B" w:rsidP="00DB50C7">
      <w:pPr>
        <w:spacing w:line="276" w:lineRule="auto"/>
        <w:jc w:val="both"/>
        <w:rPr>
          <w:rFonts w:ascii="Times New Roman" w:hAnsi="Times New Roman" w:cs="Times New Roman"/>
          <w:sz w:val="24"/>
          <w:szCs w:val="24"/>
        </w:rPr>
      </w:pPr>
      <w:r w:rsidRPr="0053645B">
        <w:rPr>
          <w:rFonts w:ascii="Times New Roman" w:hAnsi="Times New Roman" w:cs="Times New Roman"/>
          <w:sz w:val="24"/>
          <w:szCs w:val="24"/>
        </w:rPr>
        <w:t>Myers and Majluf were the authors of this hypothesis (1984). This idea assumes that a company's internal resources have been depleted before it looks for outside sources of funding. In essence, the philosophy that governs pecking order refers to the situation in which a company exhausts its own sources of funding before seeking funding from outside sources. Equity funding would be the last resort if debt could not be raised. This idea predicts a negative relationship between an organization's capital structure and its performance, according to the literature. That is, the notion of optimum leverage is not considered in pecking order theory. (2003) Frank and Goyal</w:t>
      </w:r>
    </w:p>
    <w:p w14:paraId="0EC08F59" w14:textId="6121BD20" w:rsidR="0053645B" w:rsidRPr="0053645B" w:rsidRDefault="0053645B" w:rsidP="00DB50C7">
      <w:pPr>
        <w:spacing w:line="276" w:lineRule="auto"/>
        <w:jc w:val="both"/>
        <w:rPr>
          <w:rFonts w:ascii="Times New Roman" w:hAnsi="Times New Roman" w:cs="Times New Roman"/>
          <w:b/>
          <w:bCs/>
          <w:sz w:val="24"/>
          <w:szCs w:val="24"/>
        </w:rPr>
      </w:pPr>
      <w:r w:rsidRPr="0053645B">
        <w:rPr>
          <w:rFonts w:ascii="Times New Roman" w:hAnsi="Times New Roman" w:cs="Times New Roman"/>
          <w:b/>
          <w:bCs/>
          <w:sz w:val="24"/>
          <w:szCs w:val="24"/>
        </w:rPr>
        <w:t>Trade Off</w:t>
      </w:r>
      <w:r w:rsidR="00AE2E14">
        <w:rPr>
          <w:rFonts w:ascii="Times New Roman" w:hAnsi="Times New Roman" w:cs="Times New Roman"/>
          <w:b/>
          <w:bCs/>
          <w:sz w:val="24"/>
          <w:szCs w:val="24"/>
        </w:rPr>
        <w:t>s</w:t>
      </w:r>
      <w:r w:rsidRPr="0053645B">
        <w:rPr>
          <w:rFonts w:ascii="Times New Roman" w:hAnsi="Times New Roman" w:cs="Times New Roman"/>
          <w:b/>
          <w:bCs/>
          <w:sz w:val="24"/>
          <w:szCs w:val="24"/>
        </w:rPr>
        <w:t xml:space="preserve"> Theory</w:t>
      </w:r>
    </w:p>
    <w:p w14:paraId="71C5DA25" w14:textId="77777777" w:rsidR="00AE2E14" w:rsidRPr="00AE2E14" w:rsidRDefault="00AE2E14" w:rsidP="00AE2E14">
      <w:pPr>
        <w:spacing w:line="276" w:lineRule="auto"/>
        <w:jc w:val="both"/>
        <w:rPr>
          <w:rFonts w:ascii="Times New Roman" w:hAnsi="Times New Roman" w:cs="Times New Roman"/>
          <w:sz w:val="24"/>
          <w:szCs w:val="24"/>
        </w:rPr>
      </w:pPr>
      <w:r w:rsidRPr="00AE2E14">
        <w:rPr>
          <w:rFonts w:ascii="Times New Roman" w:hAnsi="Times New Roman" w:cs="Times New Roman"/>
          <w:sz w:val="24"/>
          <w:szCs w:val="24"/>
        </w:rPr>
        <w:t xml:space="preserve">This concept, which describes how the capital of a company is organized in terms of debt and equity, is one of the most often used ones in the field of corporate finance. This idea is often attributed to Kraus and Litzenberger, who deserve credit for its conception (1973). This theory proposes that the optimal capital structure for each company is attainable and can be expected by maintaining stability between the cost of debt and the tax benefits it provides, while maintaining other parameters at their original values. According to </w:t>
      </w:r>
      <w:proofErr w:type="spellStart"/>
      <w:r w:rsidRPr="00AE2E14">
        <w:rPr>
          <w:rFonts w:ascii="Times New Roman" w:hAnsi="Times New Roman" w:cs="Times New Roman"/>
          <w:sz w:val="24"/>
          <w:szCs w:val="24"/>
        </w:rPr>
        <w:t>Ogenche</w:t>
      </w:r>
      <w:proofErr w:type="spellEnd"/>
      <w:r w:rsidRPr="00AE2E14">
        <w:rPr>
          <w:rFonts w:ascii="Times New Roman" w:hAnsi="Times New Roman" w:cs="Times New Roman"/>
          <w:sz w:val="24"/>
          <w:szCs w:val="24"/>
        </w:rPr>
        <w:t xml:space="preserve"> et al., this concept demonstrates a positive association between gearing and profitability (2018). In a similar vein, the trade-off theory explains the relationship between a low total cost of capital and a high debt-to-equity ratio, with the latter causing an increase in the total cost of capital to be generated. This idea follows a similar line of thought as the previous one. (Tsuji, 2017)</w:t>
      </w:r>
    </w:p>
    <w:p w14:paraId="155FE32B" w14:textId="77777777" w:rsidR="00AE2E14" w:rsidRDefault="00AE2E14" w:rsidP="00AE2E14">
      <w:pPr>
        <w:spacing w:line="276" w:lineRule="auto"/>
        <w:jc w:val="both"/>
        <w:rPr>
          <w:rFonts w:ascii="Times New Roman" w:hAnsi="Times New Roman" w:cs="Times New Roman"/>
          <w:sz w:val="24"/>
          <w:szCs w:val="24"/>
        </w:rPr>
      </w:pPr>
      <w:r w:rsidRPr="00AE2E14">
        <w:rPr>
          <w:rFonts w:ascii="Times New Roman" w:hAnsi="Times New Roman" w:cs="Times New Roman"/>
          <w:sz w:val="24"/>
          <w:szCs w:val="24"/>
        </w:rPr>
        <w:t>This hypothesis is predicated on the idea that the optimal form of capital structure for the majority of enterprises is a combination of debt and equity financing. This hypothesis follows a similar line of thought as the previous one and proposes that loan capital may raise a company's worth up to a certain point. After that point, the value of the company stays steady and will only begin to decrease if excessive borrowing occurs. The tradeoff hypothesis places an emphasis on the limits of a capital structure that is centered entirely on debt, in which the weighted average cost of capital is at its lowest and a company's market value is at its greatest (Binh &amp; Tram, 2020). The cost of financial crises, the expense of the agency, and the personal tax on interest income are all elements that contribute to this limitation.</w:t>
      </w:r>
    </w:p>
    <w:p w14:paraId="25DD9514" w14:textId="3C474647" w:rsidR="0053645B" w:rsidRPr="0053645B" w:rsidRDefault="0053645B" w:rsidP="00AE2E14">
      <w:pPr>
        <w:spacing w:line="276" w:lineRule="auto"/>
        <w:jc w:val="both"/>
        <w:rPr>
          <w:rFonts w:ascii="Times New Roman" w:hAnsi="Times New Roman" w:cs="Times New Roman"/>
          <w:b/>
          <w:bCs/>
          <w:sz w:val="24"/>
          <w:szCs w:val="24"/>
        </w:rPr>
      </w:pPr>
      <w:r w:rsidRPr="0053645B">
        <w:rPr>
          <w:rFonts w:ascii="Times New Roman" w:hAnsi="Times New Roman" w:cs="Times New Roman"/>
          <w:b/>
          <w:bCs/>
          <w:sz w:val="24"/>
          <w:szCs w:val="24"/>
        </w:rPr>
        <w:t>Empirical Review</w:t>
      </w:r>
    </w:p>
    <w:p w14:paraId="350EBD5B" w14:textId="3523CF08" w:rsidR="003B2A93" w:rsidRPr="006757B9" w:rsidRDefault="003B2A93" w:rsidP="006757B9">
      <w:pPr>
        <w:jc w:val="both"/>
        <w:rPr>
          <w:rFonts w:ascii="Times New Roman" w:hAnsi="Times New Roman" w:cs="Times New Roman"/>
          <w:sz w:val="24"/>
          <w:szCs w:val="24"/>
        </w:rPr>
      </w:pPr>
      <w:proofErr w:type="spellStart"/>
      <w:r w:rsidRPr="006757B9">
        <w:rPr>
          <w:rFonts w:ascii="Times New Roman" w:hAnsi="Times New Roman" w:cs="Times New Roman"/>
          <w:sz w:val="24"/>
          <w:szCs w:val="24"/>
        </w:rPr>
        <w:t>Hariandy</w:t>
      </w:r>
      <w:proofErr w:type="spellEnd"/>
      <w:r w:rsidRPr="006757B9">
        <w:rPr>
          <w:rFonts w:ascii="Times New Roman" w:hAnsi="Times New Roman" w:cs="Times New Roman"/>
          <w:sz w:val="24"/>
          <w:szCs w:val="24"/>
        </w:rPr>
        <w:t xml:space="preserve"> conducted research on the capital structures, growth rates, and profitability of </w:t>
      </w:r>
      <w:r w:rsidR="006757B9" w:rsidRPr="006757B9">
        <w:rPr>
          <w:rFonts w:ascii="Times New Roman" w:hAnsi="Times New Roman" w:cs="Times New Roman"/>
          <w:sz w:val="24"/>
          <w:szCs w:val="24"/>
        </w:rPr>
        <w:t>listed manufacturing firm</w:t>
      </w:r>
      <w:r w:rsidRPr="006757B9">
        <w:rPr>
          <w:rFonts w:ascii="Times New Roman" w:hAnsi="Times New Roman" w:cs="Times New Roman"/>
          <w:sz w:val="24"/>
          <w:szCs w:val="24"/>
        </w:rPr>
        <w:t xml:space="preserve"> in Indonesia (2015). In the study, the researchers used a technique that is known as multiple regression analysis. It has been shown that there is a significant and positive correlation between the capital structure of Islamic microfinance companies in Indonesia and their levels of profitability. This link is advantageous since it shows that there is a connection between the two. The examination at hand is concentrating its attention on a study that is now being carried out in Nigeria rather than the one that was carried out in Indonesia and is being evaluated here.</w:t>
      </w:r>
    </w:p>
    <w:p w14:paraId="1183199D" w14:textId="77777777" w:rsidR="003B2A93" w:rsidRPr="003B2A93" w:rsidRDefault="003B2A93" w:rsidP="003B2A93">
      <w:pPr>
        <w:spacing w:line="276" w:lineRule="auto"/>
        <w:jc w:val="both"/>
        <w:rPr>
          <w:rFonts w:ascii="Times New Roman" w:hAnsi="Times New Roman" w:cs="Times New Roman"/>
          <w:sz w:val="24"/>
          <w:szCs w:val="24"/>
        </w:rPr>
      </w:pPr>
      <w:r w:rsidRPr="003B2A93">
        <w:rPr>
          <w:rFonts w:ascii="Times New Roman" w:hAnsi="Times New Roman" w:cs="Times New Roman"/>
          <w:sz w:val="24"/>
          <w:szCs w:val="24"/>
        </w:rPr>
        <w:t>In 2015, Caroline and Willy performed research to evaluate how the capital structure of firms listed on the Nairobi Securities Exchange affects the performance of such companies. The data were imported into SPSS, and multiple regression analysis was used so that the hypotheses could be examined and evaluated. In contrast to equity and long-term debt, which both have a significant and positive effect on financial performance, short-term debt has a negative effect on financial performance that is both significant and significant. This is in contrast to the positive and significant effect that long-term debt and equity have. However, the research that was looked at did not succeed in accomplishing this aim, which was one of the purposes of the study. The research that was evaluated did not take into account the impact that an organization's total debt ratio has on its success.</w:t>
      </w:r>
    </w:p>
    <w:p w14:paraId="4CB70133" w14:textId="77777777" w:rsidR="006757B9" w:rsidRDefault="003B2A93" w:rsidP="006757B9">
      <w:pPr>
        <w:jc w:val="both"/>
        <w:rPr>
          <w:rFonts w:ascii="Times New Roman" w:hAnsi="Times New Roman" w:cs="Times New Roman"/>
          <w:sz w:val="24"/>
          <w:szCs w:val="24"/>
        </w:rPr>
      </w:pPr>
      <w:proofErr w:type="spellStart"/>
      <w:r w:rsidRPr="006757B9">
        <w:rPr>
          <w:rFonts w:ascii="Times New Roman" w:hAnsi="Times New Roman" w:cs="Times New Roman"/>
          <w:sz w:val="24"/>
          <w:szCs w:val="24"/>
        </w:rPr>
        <w:t>Foyeke</w:t>
      </w:r>
      <w:proofErr w:type="spellEnd"/>
      <w:r w:rsidRPr="006757B9">
        <w:rPr>
          <w:rFonts w:ascii="Times New Roman" w:hAnsi="Times New Roman" w:cs="Times New Roman"/>
          <w:sz w:val="24"/>
          <w:szCs w:val="24"/>
        </w:rPr>
        <w:t xml:space="preserve">, Olusola, and Aderemi (2016) looked at the financial structures and levels of profitability of </w:t>
      </w:r>
      <w:r w:rsidR="006757B9" w:rsidRPr="006757B9">
        <w:rPr>
          <w:rFonts w:ascii="Times New Roman" w:hAnsi="Times New Roman" w:cs="Times New Roman"/>
          <w:sz w:val="24"/>
          <w:szCs w:val="24"/>
        </w:rPr>
        <w:t>listed manufacturing firm in Nigeria stock exchange.</w:t>
      </w:r>
      <w:r w:rsidRPr="003B2A93">
        <w:rPr>
          <w:rFonts w:ascii="Times New Roman" w:hAnsi="Times New Roman" w:cs="Times New Roman"/>
          <w:sz w:val="24"/>
          <w:szCs w:val="24"/>
        </w:rPr>
        <w:t xml:space="preserve"> Stats software was used to analyze data using the spearman's rank correlation and regression methods for a sample of 25 manufacturing companies that had been listed on the Nigerian stock exchange between the years of 2008 and 2012. The sample was comprised of companies that had been listed on the Nigerian stock exchange between the years of 2008 and 2012. Companies that had been listed on the Nigerian stock market during the years of 2008 and 2012 constituted the sample for this study. Within the sample, we included companies that have been involved in transactions on that specific market. The results of the research indicate that there is a positive correlation between the presence of equity ownership and the level of profitability enjoyed by manufacturing companies in Nigeria. In place of regression analysis and Spearman's rank correlation, which were both used in the prior study, panel regression analysis is going to be utilized in the present investigation.</w:t>
      </w:r>
    </w:p>
    <w:p w14:paraId="08464665" w14:textId="1FC74A72" w:rsidR="003B2A93" w:rsidRPr="003B2A93" w:rsidRDefault="003B2A93" w:rsidP="006757B9">
      <w:pPr>
        <w:jc w:val="both"/>
        <w:rPr>
          <w:rFonts w:ascii="Times New Roman" w:hAnsi="Times New Roman" w:cs="Times New Roman"/>
          <w:sz w:val="24"/>
          <w:szCs w:val="24"/>
        </w:rPr>
      </w:pPr>
      <w:r w:rsidRPr="006757B9">
        <w:rPr>
          <w:rFonts w:ascii="Times New Roman" w:hAnsi="Times New Roman" w:cs="Times New Roman"/>
          <w:sz w:val="24"/>
          <w:szCs w:val="24"/>
        </w:rPr>
        <w:t xml:space="preserve">Nwachukwu and </w:t>
      </w:r>
      <w:proofErr w:type="spellStart"/>
      <w:r w:rsidRPr="006757B9">
        <w:rPr>
          <w:rFonts w:ascii="Times New Roman" w:hAnsi="Times New Roman" w:cs="Times New Roman"/>
          <w:sz w:val="24"/>
          <w:szCs w:val="24"/>
        </w:rPr>
        <w:t>Akpeghughu</w:t>
      </w:r>
      <w:proofErr w:type="spellEnd"/>
      <w:r w:rsidRPr="006757B9">
        <w:rPr>
          <w:rFonts w:ascii="Times New Roman" w:hAnsi="Times New Roman" w:cs="Times New Roman"/>
          <w:sz w:val="24"/>
          <w:szCs w:val="24"/>
        </w:rPr>
        <w:t xml:space="preserve"> (2016) carried a study on the topic of the connection between capital structures and overall firm performance in</w:t>
      </w:r>
      <w:r w:rsidR="006757B9" w:rsidRPr="006757B9">
        <w:rPr>
          <w:rFonts w:ascii="Times New Roman" w:hAnsi="Times New Roman" w:cs="Times New Roman"/>
          <w:sz w:val="24"/>
          <w:szCs w:val="24"/>
        </w:rPr>
        <w:t xml:space="preserve"> listed manufacturing firm in Nigeria stock </w:t>
      </w:r>
      <w:proofErr w:type="gramStart"/>
      <w:r w:rsidR="006757B9" w:rsidRPr="006757B9">
        <w:rPr>
          <w:rFonts w:ascii="Times New Roman" w:hAnsi="Times New Roman" w:cs="Times New Roman"/>
          <w:sz w:val="24"/>
          <w:szCs w:val="24"/>
        </w:rPr>
        <w:t xml:space="preserve">exchange </w:t>
      </w:r>
      <w:r w:rsidRPr="003B2A93">
        <w:rPr>
          <w:rFonts w:ascii="Times New Roman" w:hAnsi="Times New Roman" w:cs="Times New Roman"/>
          <w:sz w:val="24"/>
          <w:szCs w:val="24"/>
        </w:rPr>
        <w:t xml:space="preserve"> (</w:t>
      </w:r>
      <w:proofErr w:type="gramEnd"/>
      <w:r w:rsidRPr="003B2A93">
        <w:rPr>
          <w:rFonts w:ascii="Times New Roman" w:hAnsi="Times New Roman" w:cs="Times New Roman"/>
          <w:sz w:val="24"/>
          <w:szCs w:val="24"/>
        </w:rPr>
        <w:t xml:space="preserve">2000-2014). The research demonstrated, with the assistance of regression analysis, that there is a connection between equity capital and return on investment that is both positive and substantial, whereas there is a connection between debt capital and return on investment that is both negative and substantial. This was found to be the case. It was found that these links had a statistically significant influence on both of the outcomes, which was the case in both of the cases. In the prior study, the focus was placed mostly on financial institutions located in Nigeria. On the other hand, the focus of the present research is mainly on the various </w:t>
      </w:r>
      <w:r w:rsidR="003713C7">
        <w:rPr>
          <w:rFonts w:ascii="Times New Roman" w:hAnsi="Times New Roman" w:cs="Times New Roman"/>
          <w:sz w:val="24"/>
          <w:szCs w:val="24"/>
        </w:rPr>
        <w:t>manufacturing</w:t>
      </w:r>
      <w:r w:rsidRPr="003B2A93">
        <w:rPr>
          <w:rFonts w:ascii="Times New Roman" w:hAnsi="Times New Roman" w:cs="Times New Roman"/>
          <w:sz w:val="24"/>
          <w:szCs w:val="24"/>
        </w:rPr>
        <w:t xml:space="preserve"> organizations in Nigeria.</w:t>
      </w:r>
    </w:p>
    <w:p w14:paraId="4BB4BDD7" w14:textId="717336F6" w:rsidR="002847A9" w:rsidRDefault="003B2A93" w:rsidP="00AE51B0">
      <w:pPr>
        <w:jc w:val="both"/>
        <w:rPr>
          <w:rFonts w:ascii="Times New Roman" w:hAnsi="Times New Roman" w:cs="Times New Roman"/>
          <w:sz w:val="24"/>
          <w:szCs w:val="24"/>
        </w:rPr>
      </w:pPr>
      <w:r w:rsidRPr="006757B9">
        <w:rPr>
          <w:rFonts w:ascii="Times New Roman" w:hAnsi="Times New Roman" w:cs="Times New Roman"/>
          <w:sz w:val="24"/>
          <w:szCs w:val="24"/>
        </w:rPr>
        <w:t xml:space="preserve">Research was carried out by </w:t>
      </w:r>
      <w:proofErr w:type="spellStart"/>
      <w:r w:rsidRPr="006757B9">
        <w:rPr>
          <w:rFonts w:ascii="Times New Roman" w:hAnsi="Times New Roman" w:cs="Times New Roman"/>
          <w:sz w:val="24"/>
          <w:szCs w:val="24"/>
        </w:rPr>
        <w:t>Oyedokun</w:t>
      </w:r>
      <w:proofErr w:type="spellEnd"/>
      <w:r w:rsidRPr="006757B9">
        <w:rPr>
          <w:rFonts w:ascii="Times New Roman" w:hAnsi="Times New Roman" w:cs="Times New Roman"/>
          <w:sz w:val="24"/>
          <w:szCs w:val="24"/>
        </w:rPr>
        <w:t xml:space="preserve">, Olatunji, and </w:t>
      </w:r>
      <w:proofErr w:type="spellStart"/>
      <w:r w:rsidRPr="006757B9">
        <w:rPr>
          <w:rFonts w:ascii="Times New Roman" w:hAnsi="Times New Roman" w:cs="Times New Roman"/>
          <w:sz w:val="24"/>
          <w:szCs w:val="24"/>
        </w:rPr>
        <w:t>Sanyaolu</w:t>
      </w:r>
      <w:proofErr w:type="spellEnd"/>
      <w:r w:rsidRPr="006757B9">
        <w:rPr>
          <w:rFonts w:ascii="Times New Roman" w:hAnsi="Times New Roman" w:cs="Times New Roman"/>
          <w:sz w:val="24"/>
          <w:szCs w:val="24"/>
        </w:rPr>
        <w:t xml:space="preserve"> on the potential effects that a company's capital structure may have on the overall level of financial </w:t>
      </w:r>
      <w:r w:rsidR="006757B9" w:rsidRPr="006757B9">
        <w:rPr>
          <w:rFonts w:ascii="Times New Roman" w:hAnsi="Times New Roman" w:cs="Times New Roman"/>
          <w:sz w:val="24"/>
          <w:szCs w:val="24"/>
        </w:rPr>
        <w:t>performance of   listed manufacturing firm in Nigeria stock exchange</w:t>
      </w:r>
      <w:r w:rsidRPr="003B2A93">
        <w:rPr>
          <w:rFonts w:ascii="Times New Roman" w:hAnsi="Times New Roman" w:cs="Times New Roman"/>
          <w:sz w:val="24"/>
          <w:szCs w:val="24"/>
        </w:rPr>
        <w:t>s. They were primarily interested in the manufacturing industry in Nigeria for the purposes of their research (2018). A balanced panel analysis was carried out for the purpose of this research utilizing one hundred distinct data points that were gathered from ten distinct publicly listed firms between the years 2007 and 2016. In this particular piece of research, the researchers used both descriptive statistics and regression as methods of data analysis and interpretation. According to the findings of the analysis, there is both a statistically significant and a negligible impact that capital structure has on performance metrics. The inquiry also came to the conclusion that there is no correlation between the two. In the preceding study, both descriptive static analysis and regression analysis were used as methods. In contrast, the present research will focus mostly on panel regression analysis as its major method of data collection and analysis.</w:t>
      </w:r>
    </w:p>
    <w:p w14:paraId="6C106D1B" w14:textId="1CB25B2D" w:rsidR="00AE51B0" w:rsidRPr="001C4603" w:rsidRDefault="00AE51B0" w:rsidP="00AE51B0">
      <w:pPr>
        <w:jc w:val="both"/>
        <w:rPr>
          <w:rFonts w:ascii="Times New Roman" w:hAnsi="Times New Roman" w:cs="Times New Roman"/>
          <w:b/>
          <w:bCs/>
          <w:sz w:val="24"/>
          <w:szCs w:val="24"/>
        </w:rPr>
      </w:pPr>
      <w:r w:rsidRPr="001C4603">
        <w:rPr>
          <w:rFonts w:ascii="Times New Roman" w:hAnsi="Times New Roman" w:cs="Times New Roman"/>
          <w:b/>
          <w:bCs/>
          <w:sz w:val="24"/>
          <w:szCs w:val="24"/>
        </w:rPr>
        <w:t>RESEARCH AND METHOD</w:t>
      </w:r>
    </w:p>
    <w:p w14:paraId="6FE3B253" w14:textId="20ADA539" w:rsidR="002847A9" w:rsidRPr="00061566" w:rsidRDefault="002847A9" w:rsidP="002847A9">
      <w:pPr>
        <w:spacing w:line="480" w:lineRule="auto"/>
        <w:jc w:val="both"/>
        <w:rPr>
          <w:rFonts w:ascii="Times New Roman" w:hAnsi="Times New Roman" w:cs="Times New Roman"/>
          <w:b/>
          <w:sz w:val="24"/>
          <w:szCs w:val="24"/>
        </w:rPr>
      </w:pPr>
      <w:r w:rsidRPr="00061566">
        <w:rPr>
          <w:rFonts w:ascii="Times New Roman" w:hAnsi="Times New Roman" w:cs="Times New Roman"/>
          <w:b/>
          <w:sz w:val="24"/>
          <w:szCs w:val="24"/>
        </w:rPr>
        <w:t>3.Model Specifications</w:t>
      </w:r>
    </w:p>
    <w:p w14:paraId="79226D3F" w14:textId="30FF572E" w:rsidR="0088291E" w:rsidRDefault="0088291E" w:rsidP="0088291E">
      <w:pPr>
        <w:spacing w:line="240" w:lineRule="auto"/>
        <w:jc w:val="both"/>
        <w:rPr>
          <w:rFonts w:ascii="Times New Roman" w:eastAsia="Times New Roman" w:hAnsi="Times New Roman" w:cs="Times New Roman"/>
          <w:sz w:val="24"/>
          <w:szCs w:val="24"/>
        </w:rPr>
      </w:pPr>
      <w:r w:rsidRPr="0088291E">
        <w:rPr>
          <w:rFonts w:ascii="Times New Roman" w:eastAsia="Times New Roman" w:hAnsi="Times New Roman" w:cs="Times New Roman"/>
          <w:sz w:val="24"/>
          <w:szCs w:val="24"/>
        </w:rPr>
        <w:t xml:space="preserve">This study uses ex-post facto (after-the-fact) data. Due to the short timeframe of the research, only ten (10) of the twenty-one (21) food and beverage businesses listed on the Nigerian Stock Exchange were sampled. The research covered "DN Meyer Plc, Portland Paints &amp; Products Nigeria Plc, Lafarge Africa </w:t>
      </w:r>
      <w:proofErr w:type="spellStart"/>
      <w:proofErr w:type="gramStart"/>
      <w:r w:rsidRPr="0088291E">
        <w:rPr>
          <w:rFonts w:ascii="Times New Roman" w:eastAsia="Times New Roman" w:hAnsi="Times New Roman" w:cs="Times New Roman"/>
          <w:sz w:val="24"/>
          <w:szCs w:val="24"/>
        </w:rPr>
        <w:t>Plc,Cutix</w:t>
      </w:r>
      <w:proofErr w:type="spellEnd"/>
      <w:proofErr w:type="gramEnd"/>
      <w:r w:rsidRPr="0088291E">
        <w:rPr>
          <w:rFonts w:ascii="Times New Roman" w:eastAsia="Times New Roman" w:hAnsi="Times New Roman" w:cs="Times New Roman"/>
          <w:sz w:val="24"/>
          <w:szCs w:val="24"/>
        </w:rPr>
        <w:t xml:space="preserve"> </w:t>
      </w:r>
      <w:proofErr w:type="spellStart"/>
      <w:r w:rsidRPr="0088291E">
        <w:rPr>
          <w:rFonts w:ascii="Times New Roman" w:eastAsia="Times New Roman" w:hAnsi="Times New Roman" w:cs="Times New Roman"/>
          <w:sz w:val="24"/>
          <w:szCs w:val="24"/>
        </w:rPr>
        <w:t>Plc,Beta</w:t>
      </w:r>
      <w:proofErr w:type="spellEnd"/>
      <w:r w:rsidRPr="0088291E">
        <w:rPr>
          <w:rFonts w:ascii="Times New Roman" w:eastAsia="Times New Roman" w:hAnsi="Times New Roman" w:cs="Times New Roman"/>
          <w:sz w:val="24"/>
          <w:szCs w:val="24"/>
        </w:rPr>
        <w:t xml:space="preserve"> Glass Cu </w:t>
      </w:r>
      <w:proofErr w:type="spellStart"/>
      <w:r w:rsidRPr="0088291E">
        <w:rPr>
          <w:rFonts w:ascii="Times New Roman" w:eastAsia="Times New Roman" w:hAnsi="Times New Roman" w:cs="Times New Roman"/>
          <w:sz w:val="24"/>
          <w:szCs w:val="24"/>
        </w:rPr>
        <w:t>Plc,Greip</w:t>
      </w:r>
      <w:proofErr w:type="spellEnd"/>
      <w:r w:rsidRPr="0088291E">
        <w:rPr>
          <w:rFonts w:ascii="Times New Roman" w:eastAsia="Times New Roman" w:hAnsi="Times New Roman" w:cs="Times New Roman"/>
          <w:sz w:val="24"/>
          <w:szCs w:val="24"/>
        </w:rPr>
        <w:t xml:space="preserve"> Nigeria </w:t>
      </w:r>
      <w:proofErr w:type="spellStart"/>
      <w:r w:rsidRPr="0088291E">
        <w:rPr>
          <w:rFonts w:ascii="Times New Roman" w:eastAsia="Times New Roman" w:hAnsi="Times New Roman" w:cs="Times New Roman"/>
          <w:sz w:val="24"/>
          <w:szCs w:val="24"/>
        </w:rPr>
        <w:t>Plc,Premier</w:t>
      </w:r>
      <w:proofErr w:type="spellEnd"/>
      <w:r w:rsidRPr="0088291E">
        <w:rPr>
          <w:rFonts w:ascii="Times New Roman" w:eastAsia="Times New Roman" w:hAnsi="Times New Roman" w:cs="Times New Roman"/>
          <w:sz w:val="24"/>
          <w:szCs w:val="24"/>
        </w:rPr>
        <w:t xml:space="preserve"> Paint </w:t>
      </w:r>
      <w:proofErr w:type="spellStart"/>
      <w:r w:rsidRPr="0088291E">
        <w:rPr>
          <w:rFonts w:ascii="Times New Roman" w:eastAsia="Times New Roman" w:hAnsi="Times New Roman" w:cs="Times New Roman"/>
          <w:sz w:val="24"/>
          <w:szCs w:val="24"/>
        </w:rPr>
        <w:t>Plc,Austin</w:t>
      </w:r>
      <w:proofErr w:type="spellEnd"/>
      <w:r w:rsidRPr="0088291E">
        <w:rPr>
          <w:rFonts w:ascii="Times New Roman" w:eastAsia="Times New Roman" w:hAnsi="Times New Roman" w:cs="Times New Roman"/>
          <w:sz w:val="24"/>
          <w:szCs w:val="24"/>
        </w:rPr>
        <w:t xml:space="preserve"> Laz &amp; </w:t>
      </w:r>
      <w:proofErr w:type="spellStart"/>
      <w:r w:rsidRPr="0088291E">
        <w:rPr>
          <w:rFonts w:ascii="Times New Roman" w:eastAsia="Times New Roman" w:hAnsi="Times New Roman" w:cs="Times New Roman"/>
          <w:sz w:val="24"/>
          <w:szCs w:val="24"/>
        </w:rPr>
        <w:t>Company,Notore</w:t>
      </w:r>
      <w:proofErr w:type="spellEnd"/>
      <w:r w:rsidRPr="0088291E">
        <w:rPr>
          <w:rFonts w:ascii="Times New Roman" w:eastAsia="Times New Roman" w:hAnsi="Times New Roman" w:cs="Times New Roman"/>
          <w:sz w:val="24"/>
          <w:szCs w:val="24"/>
        </w:rPr>
        <w:t xml:space="preserve"> Chemical Ind. </w:t>
      </w:r>
      <w:proofErr w:type="spellStart"/>
      <w:r w:rsidRPr="0088291E">
        <w:rPr>
          <w:rFonts w:ascii="Times New Roman" w:eastAsia="Times New Roman" w:hAnsi="Times New Roman" w:cs="Times New Roman"/>
          <w:sz w:val="24"/>
          <w:szCs w:val="24"/>
        </w:rPr>
        <w:t>Plc,Dangote</w:t>
      </w:r>
      <w:proofErr w:type="spellEnd"/>
      <w:r w:rsidRPr="0088291E">
        <w:rPr>
          <w:rFonts w:ascii="Times New Roman" w:eastAsia="Times New Roman" w:hAnsi="Times New Roman" w:cs="Times New Roman"/>
          <w:sz w:val="24"/>
          <w:szCs w:val="24"/>
        </w:rPr>
        <w:t xml:space="preserve"> Cement plc from 2010 to 20</w:t>
      </w:r>
      <w:r w:rsidR="00C51E27">
        <w:rPr>
          <w:rFonts w:ascii="Times New Roman" w:eastAsia="Times New Roman" w:hAnsi="Times New Roman" w:cs="Times New Roman"/>
          <w:sz w:val="24"/>
          <w:szCs w:val="24"/>
        </w:rPr>
        <w:t>20</w:t>
      </w:r>
      <w:r w:rsidRPr="0088291E">
        <w:rPr>
          <w:rFonts w:ascii="Times New Roman" w:eastAsia="Times New Roman" w:hAnsi="Times New Roman" w:cs="Times New Roman"/>
          <w:sz w:val="24"/>
          <w:szCs w:val="24"/>
        </w:rPr>
        <w:t>. This research used secondary data. The study's data came from yearly reports and the Nigerian Stock Exchange fact book. The research covers 2005-2010.The researcher used OLS regression to analyze the effect of dependent factors on independent variables. Regression was used to obtain the linear equation coefficient that best predicted the dependent variation. F-statistics were used to evaluate the regression model's significance and t-statistics to test the regression coefficients. F and t-statistics were examined with 95% confidence. A correlation matrix showed the relationship between capital structure and firm performance.</w:t>
      </w:r>
    </w:p>
    <w:p w14:paraId="6755A4E7" w14:textId="7D81D702" w:rsidR="002847A9" w:rsidRPr="00061566" w:rsidRDefault="002847A9" w:rsidP="0088291E">
      <w:pPr>
        <w:spacing w:line="240" w:lineRule="auto"/>
        <w:jc w:val="both"/>
        <w:rPr>
          <w:rFonts w:ascii="Times New Roman" w:hAnsi="Times New Roman" w:cs="Times New Roman"/>
          <w:sz w:val="24"/>
          <w:szCs w:val="24"/>
        </w:rPr>
      </w:pPr>
      <w:proofErr w:type="spellStart"/>
      <w:r w:rsidRPr="00061566">
        <w:rPr>
          <w:rFonts w:ascii="Times New Roman" w:hAnsi="Times New Roman" w:cs="Times New Roman"/>
          <w:sz w:val="24"/>
          <w:szCs w:val="24"/>
        </w:rPr>
        <w:t>ROAit</w:t>
      </w:r>
      <w:proofErr w:type="spellEnd"/>
      <w:r w:rsidRPr="00061566">
        <w:rPr>
          <w:rFonts w:ascii="Times New Roman" w:hAnsi="Times New Roman" w:cs="Times New Roman"/>
          <w:sz w:val="24"/>
          <w:szCs w:val="24"/>
        </w:rPr>
        <w:t xml:space="preserve"> = </w:t>
      </w:r>
      <w:proofErr w:type="gramStart"/>
      <w:r w:rsidRPr="00061566">
        <w:rPr>
          <w:rFonts w:ascii="Times New Roman" w:hAnsi="Times New Roman" w:cs="Times New Roman"/>
          <w:i/>
          <w:iCs/>
          <w:sz w:val="24"/>
          <w:szCs w:val="24"/>
        </w:rPr>
        <w:t>f</w:t>
      </w:r>
      <w:r w:rsidRPr="00061566">
        <w:rPr>
          <w:rFonts w:ascii="Times New Roman" w:hAnsi="Times New Roman" w:cs="Times New Roman"/>
          <w:sz w:val="24"/>
          <w:szCs w:val="24"/>
        </w:rPr>
        <w:t>(</w:t>
      </w:r>
      <w:proofErr w:type="spellStart"/>
      <w:proofErr w:type="gramEnd"/>
      <w:r w:rsidRPr="00061566">
        <w:rPr>
          <w:rFonts w:ascii="Times New Roman" w:hAnsi="Times New Roman" w:cs="Times New Roman"/>
          <w:sz w:val="24"/>
          <w:szCs w:val="24"/>
        </w:rPr>
        <w:t>EQUit</w:t>
      </w:r>
      <w:proofErr w:type="spellEnd"/>
      <w:r w:rsidRPr="00061566">
        <w:rPr>
          <w:rFonts w:ascii="Times New Roman" w:hAnsi="Times New Roman" w:cs="Times New Roman"/>
          <w:sz w:val="24"/>
          <w:szCs w:val="24"/>
        </w:rPr>
        <w:t xml:space="preserve"> </w:t>
      </w:r>
      <w:proofErr w:type="spellStart"/>
      <w:r w:rsidRPr="00061566">
        <w:rPr>
          <w:rFonts w:ascii="Times New Roman" w:hAnsi="Times New Roman" w:cs="Times New Roman"/>
          <w:sz w:val="24"/>
          <w:szCs w:val="24"/>
        </w:rPr>
        <w:t>TODit</w:t>
      </w:r>
      <w:proofErr w:type="spellEnd"/>
      <w:r w:rsidRPr="00061566">
        <w:rPr>
          <w:rFonts w:ascii="Times New Roman" w:hAnsi="Times New Roman" w:cs="Times New Roman"/>
          <w:sz w:val="24"/>
          <w:szCs w:val="24"/>
        </w:rPr>
        <w:t xml:space="preserve">, </w:t>
      </w:r>
      <w:proofErr w:type="spellStart"/>
      <w:r w:rsidRPr="00061566">
        <w:rPr>
          <w:rFonts w:ascii="Times New Roman" w:hAnsi="Times New Roman" w:cs="Times New Roman"/>
          <w:sz w:val="24"/>
          <w:szCs w:val="24"/>
        </w:rPr>
        <w:t>TOAit</w:t>
      </w:r>
      <w:proofErr w:type="spellEnd"/>
      <w:r w:rsidRPr="00061566">
        <w:rPr>
          <w:rFonts w:ascii="Times New Roman" w:hAnsi="Times New Roman" w:cs="Times New Roman"/>
          <w:sz w:val="24"/>
          <w:szCs w:val="24"/>
        </w:rPr>
        <w:t>)…………………………………………… (3.2)</w:t>
      </w:r>
    </w:p>
    <w:p w14:paraId="432448DC" w14:textId="0DCD2670" w:rsidR="002847A9" w:rsidRPr="00061566" w:rsidRDefault="002847A9" w:rsidP="00F9335E">
      <w:pPr>
        <w:spacing w:line="240" w:lineRule="auto"/>
        <w:jc w:val="both"/>
        <w:rPr>
          <w:rFonts w:ascii="Times New Roman" w:hAnsi="Times New Roman" w:cs="Times New Roman"/>
          <w:sz w:val="24"/>
          <w:szCs w:val="24"/>
        </w:rPr>
      </w:pPr>
      <w:r w:rsidRPr="00061566">
        <w:rPr>
          <w:rFonts w:ascii="Times New Roman" w:hAnsi="Times New Roman" w:cs="Times New Roman"/>
          <w:sz w:val="24"/>
          <w:szCs w:val="24"/>
        </w:rPr>
        <w:t xml:space="preserve">Where; ROA, ROE, EQU, TOD, TOA, </w:t>
      </w:r>
      <w:r w:rsidRPr="00061566">
        <w:rPr>
          <w:rFonts w:ascii="Times New Roman" w:hAnsi="Times New Roman" w:cs="Times New Roman"/>
          <w:i/>
          <w:iCs/>
          <w:sz w:val="24"/>
          <w:szCs w:val="24"/>
        </w:rPr>
        <w:t>f</w:t>
      </w:r>
      <w:r w:rsidRPr="00061566">
        <w:rPr>
          <w:rFonts w:ascii="Times New Roman" w:hAnsi="Times New Roman" w:cs="Times New Roman"/>
          <w:sz w:val="24"/>
          <w:szCs w:val="24"/>
        </w:rPr>
        <w:t xml:space="preserve"> and it are as later defined.</w:t>
      </w:r>
    </w:p>
    <w:p w14:paraId="620BFACF" w14:textId="126B6A1E" w:rsidR="002847A9" w:rsidRPr="00061566" w:rsidRDefault="002847A9" w:rsidP="00F9335E">
      <w:pPr>
        <w:spacing w:line="240" w:lineRule="auto"/>
        <w:jc w:val="both"/>
        <w:rPr>
          <w:rFonts w:ascii="Times New Roman" w:hAnsi="Times New Roman" w:cs="Times New Roman"/>
          <w:sz w:val="24"/>
          <w:szCs w:val="24"/>
        </w:rPr>
      </w:pPr>
      <w:r w:rsidRPr="00061566">
        <w:rPr>
          <w:rFonts w:ascii="Times New Roman" w:hAnsi="Times New Roman" w:cs="Times New Roman"/>
          <w:sz w:val="24"/>
          <w:szCs w:val="24"/>
        </w:rPr>
        <w:t xml:space="preserve">The econometric representation of the new models </w:t>
      </w:r>
      <w:r w:rsidR="00F9335E" w:rsidRPr="00061566">
        <w:rPr>
          <w:rFonts w:ascii="Times New Roman" w:hAnsi="Times New Roman" w:cs="Times New Roman"/>
          <w:sz w:val="24"/>
          <w:szCs w:val="24"/>
        </w:rPr>
        <w:t>is</w:t>
      </w:r>
      <w:r w:rsidRPr="00061566">
        <w:rPr>
          <w:rFonts w:ascii="Times New Roman" w:hAnsi="Times New Roman" w:cs="Times New Roman"/>
          <w:sz w:val="24"/>
          <w:szCs w:val="24"/>
        </w:rPr>
        <w:t xml:space="preserve"> given thus:</w:t>
      </w:r>
    </w:p>
    <w:p w14:paraId="00A1BDB5" w14:textId="154F85FE" w:rsidR="002847A9" w:rsidRPr="00061566" w:rsidRDefault="005D6EEF" w:rsidP="00F9335E">
      <w:pPr>
        <w:spacing w:line="240" w:lineRule="auto"/>
        <w:jc w:val="both"/>
        <w:rPr>
          <w:rFonts w:ascii="Times New Roman" w:hAnsi="Times New Roman" w:cs="Times New Roman"/>
          <w:sz w:val="24"/>
          <w:szCs w:val="24"/>
        </w:rPr>
      </w:p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ROA</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EQU</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2</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TOD</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3</m:t>
            </m:r>
          </m:sub>
        </m:sSub>
        <m:r>
          <w:rPr>
            <w:rFonts w:ascii="Cambria Math" w:hAnsi="Cambria Math" w:cs="Times New Roman"/>
            <w:sz w:val="24"/>
            <w:szCs w:val="24"/>
            <w:vertAlign w:val="subscript"/>
          </w:rPr>
          <m:t>TOA</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 μ</m:t>
            </m:r>
          </m:e>
          <m:sub>
            <m:r>
              <w:rPr>
                <w:rFonts w:ascii="Cambria Math" w:hAnsi="Cambria Math" w:cs="Times New Roman"/>
                <w:sz w:val="24"/>
                <w:szCs w:val="24"/>
                <w:vertAlign w:val="subscript"/>
              </w:rPr>
              <m:t>it</m:t>
            </m:r>
          </m:sub>
        </m:sSub>
      </m:oMath>
      <w:r w:rsidR="002847A9" w:rsidRPr="00061566">
        <w:rPr>
          <w:rFonts w:ascii="Times New Roman" w:eastAsiaTheme="minorEastAsia" w:hAnsi="Times New Roman" w:cs="Times New Roman"/>
          <w:sz w:val="24"/>
          <w:szCs w:val="24"/>
          <w:vertAlign w:val="subscript"/>
        </w:rPr>
        <w:t xml:space="preserve"> </w:t>
      </w:r>
      <w:r w:rsidR="002847A9" w:rsidRPr="00061566">
        <w:rPr>
          <w:rFonts w:ascii="Times New Roman" w:eastAsiaTheme="minorEastAsia" w:hAnsi="Times New Roman" w:cs="Times New Roman"/>
          <w:sz w:val="24"/>
          <w:szCs w:val="24"/>
        </w:rPr>
        <w:t>……….. (3.4)</w:t>
      </w:r>
    </w:p>
    <w:p w14:paraId="57F76873" w14:textId="63B8231E" w:rsidR="002847A9" w:rsidRPr="00061566" w:rsidRDefault="005D6EEF" w:rsidP="00F9335E">
      <w:pPr>
        <w:spacing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ROE</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EQU</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2</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TOD</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3</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LTD</m:t>
            </m:r>
          </m:e>
          <m:sub>
            <m:r>
              <w:rPr>
                <w:rFonts w:ascii="Cambria Math" w:hAnsi="Cambria Math" w:cs="Times New Roman"/>
                <w:sz w:val="24"/>
                <w:szCs w:val="24"/>
                <w:vertAlign w:val="subscript"/>
              </w:rPr>
              <m:t>it</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5</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TOA</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μ</m:t>
            </m:r>
          </m:e>
          <m:sub>
            <m:r>
              <w:rPr>
                <w:rFonts w:ascii="Cambria Math" w:hAnsi="Cambria Math" w:cs="Times New Roman"/>
                <w:sz w:val="24"/>
                <w:szCs w:val="24"/>
                <w:vertAlign w:val="subscript"/>
              </w:rPr>
              <m:t>it</m:t>
            </m:r>
          </m:sub>
        </m:sSub>
      </m:oMath>
      <w:r w:rsidR="002847A9" w:rsidRPr="00061566">
        <w:rPr>
          <w:rFonts w:ascii="Times New Roman" w:eastAsiaTheme="minorEastAsia" w:hAnsi="Times New Roman" w:cs="Times New Roman"/>
          <w:sz w:val="24"/>
          <w:szCs w:val="24"/>
          <w:vertAlign w:val="subscript"/>
        </w:rPr>
        <w:t xml:space="preserve"> </w:t>
      </w:r>
      <w:r w:rsidR="002847A9" w:rsidRPr="00061566">
        <w:rPr>
          <w:rFonts w:ascii="Times New Roman" w:eastAsiaTheme="minorEastAsia" w:hAnsi="Times New Roman" w:cs="Times New Roman"/>
          <w:sz w:val="24"/>
          <w:szCs w:val="24"/>
        </w:rPr>
        <w:t>……….. (3.5)</w:t>
      </w:r>
    </w:p>
    <w:p w14:paraId="496ED740" w14:textId="77777777" w:rsidR="002847A9" w:rsidRPr="00061566" w:rsidRDefault="002847A9" w:rsidP="002847A9">
      <w:pPr>
        <w:spacing w:line="480" w:lineRule="auto"/>
        <w:jc w:val="both"/>
        <w:rPr>
          <w:rFonts w:ascii="Times New Roman" w:eastAsiaTheme="minorEastAsia" w:hAnsi="Times New Roman" w:cs="Times New Roman"/>
          <w:sz w:val="24"/>
          <w:szCs w:val="24"/>
        </w:rPr>
      </w:pPr>
      <w:r w:rsidRPr="00061566">
        <w:rPr>
          <w:rFonts w:ascii="Times New Roman" w:eastAsiaTheme="minorEastAsia" w:hAnsi="Times New Roman" w:cs="Times New Roman"/>
          <w:sz w:val="24"/>
          <w:szCs w:val="24"/>
        </w:rPr>
        <w:t>Where:</w:t>
      </w:r>
    </w:p>
    <w:p w14:paraId="3C447E87" w14:textId="77777777" w:rsidR="002847A9" w:rsidRPr="00061566" w:rsidRDefault="002847A9" w:rsidP="00F9335E">
      <w:pPr>
        <w:spacing w:line="240" w:lineRule="auto"/>
        <w:jc w:val="both"/>
        <w:rPr>
          <w:rFonts w:ascii="Times New Roman" w:eastAsiaTheme="minorEastAsia" w:hAnsi="Times New Roman" w:cs="Times New Roman"/>
          <w:sz w:val="24"/>
          <w:szCs w:val="24"/>
        </w:rPr>
      </w:pPr>
      <w:r w:rsidRPr="00061566">
        <w:rPr>
          <w:rFonts w:ascii="Times New Roman" w:eastAsiaTheme="minorEastAsia" w:hAnsi="Times New Roman" w:cs="Times New Roman"/>
          <w:sz w:val="24"/>
          <w:szCs w:val="24"/>
        </w:rPr>
        <w:t xml:space="preserve">ROE is Return on Equity, </w:t>
      </w:r>
    </w:p>
    <w:p w14:paraId="2AB6D770" w14:textId="77777777" w:rsidR="002847A9" w:rsidRPr="00061566" w:rsidRDefault="002847A9" w:rsidP="00F9335E">
      <w:pPr>
        <w:spacing w:line="240" w:lineRule="auto"/>
        <w:jc w:val="both"/>
        <w:rPr>
          <w:rFonts w:ascii="Times New Roman" w:eastAsiaTheme="minorEastAsia" w:hAnsi="Times New Roman" w:cs="Times New Roman"/>
          <w:sz w:val="24"/>
          <w:szCs w:val="24"/>
        </w:rPr>
      </w:pPr>
      <w:r w:rsidRPr="00061566">
        <w:rPr>
          <w:rFonts w:ascii="Times New Roman" w:eastAsiaTheme="minorEastAsia" w:hAnsi="Times New Roman" w:cs="Times New Roman"/>
          <w:sz w:val="24"/>
          <w:szCs w:val="24"/>
        </w:rPr>
        <w:t xml:space="preserve">ROA is Return Assets </w:t>
      </w:r>
    </w:p>
    <w:p w14:paraId="4373A7B9" w14:textId="77777777" w:rsidR="002847A9" w:rsidRPr="00061566" w:rsidRDefault="002847A9" w:rsidP="00F9335E">
      <w:pPr>
        <w:spacing w:line="240" w:lineRule="auto"/>
        <w:jc w:val="both"/>
        <w:rPr>
          <w:rFonts w:ascii="Times New Roman" w:eastAsiaTheme="minorEastAsia" w:hAnsi="Times New Roman" w:cs="Times New Roman"/>
          <w:sz w:val="24"/>
          <w:szCs w:val="24"/>
        </w:rPr>
      </w:pPr>
      <w:r w:rsidRPr="00061566">
        <w:rPr>
          <w:rFonts w:ascii="Times New Roman" w:eastAsiaTheme="minorEastAsia" w:hAnsi="Times New Roman" w:cs="Times New Roman"/>
          <w:sz w:val="24"/>
          <w:szCs w:val="24"/>
        </w:rPr>
        <w:t>EQU is Equity</w:t>
      </w:r>
    </w:p>
    <w:p w14:paraId="46F63B59" w14:textId="77777777" w:rsidR="002847A9" w:rsidRPr="00061566" w:rsidRDefault="002847A9" w:rsidP="00F9335E">
      <w:pPr>
        <w:spacing w:line="240" w:lineRule="auto"/>
        <w:jc w:val="both"/>
        <w:rPr>
          <w:rFonts w:ascii="Times New Roman" w:eastAsiaTheme="minorEastAsia" w:hAnsi="Times New Roman" w:cs="Times New Roman"/>
          <w:sz w:val="24"/>
          <w:szCs w:val="24"/>
        </w:rPr>
      </w:pPr>
      <w:r w:rsidRPr="00061566">
        <w:rPr>
          <w:rFonts w:ascii="Times New Roman" w:eastAsiaTheme="minorEastAsia" w:hAnsi="Times New Roman" w:cs="Times New Roman"/>
          <w:sz w:val="24"/>
          <w:szCs w:val="24"/>
        </w:rPr>
        <w:t>TOD is Total Debt</w:t>
      </w:r>
    </w:p>
    <w:p w14:paraId="569E8A9C" w14:textId="77777777" w:rsidR="002847A9" w:rsidRPr="00061566" w:rsidRDefault="002847A9" w:rsidP="00F9335E">
      <w:pPr>
        <w:spacing w:line="240" w:lineRule="auto"/>
        <w:jc w:val="both"/>
        <w:rPr>
          <w:rFonts w:ascii="Times New Roman" w:eastAsiaTheme="minorEastAsia" w:hAnsi="Times New Roman" w:cs="Times New Roman"/>
          <w:sz w:val="24"/>
          <w:szCs w:val="24"/>
        </w:rPr>
      </w:pPr>
      <w:r w:rsidRPr="00061566">
        <w:rPr>
          <w:rFonts w:ascii="Times New Roman" w:hAnsi="Times New Roman" w:cs="Times New Roman"/>
          <w:sz w:val="24"/>
          <w:szCs w:val="24"/>
        </w:rPr>
        <w:t xml:space="preserve">TOA is Total Assets </w:t>
      </w:r>
    </w:p>
    <w:p w14:paraId="1B386116" w14:textId="77777777" w:rsidR="002847A9" w:rsidRPr="00061566" w:rsidRDefault="002847A9" w:rsidP="002847A9">
      <w:pPr>
        <w:spacing w:line="480" w:lineRule="auto"/>
        <w:jc w:val="both"/>
        <w:rPr>
          <w:rFonts w:ascii="Times New Roman" w:hAnsi="Times New Roman" w:cs="Times New Roman"/>
          <w:sz w:val="24"/>
          <w:szCs w:val="24"/>
        </w:rPr>
      </w:pPr>
      <w:r w:rsidRPr="00061566">
        <w:rPr>
          <w:rFonts w:ascii="Times New Roman" w:hAnsi="Times New Roman" w:cs="Times New Roman"/>
          <w:sz w:val="24"/>
          <w:szCs w:val="24"/>
        </w:rPr>
        <w:t>subscript “it” symbolizes the combination of time and individuality,</w:t>
      </w:r>
    </w:p>
    <w:p w14:paraId="13B57E88" w14:textId="77777777" w:rsidR="002847A9" w:rsidRPr="00061566" w:rsidRDefault="002847A9" w:rsidP="002847A9">
      <w:pPr>
        <w:spacing w:line="480" w:lineRule="auto"/>
        <w:jc w:val="both"/>
        <w:rPr>
          <w:rFonts w:ascii="Times New Roman" w:hAnsi="Times New Roman" w:cs="Times New Roman"/>
          <w:sz w:val="24"/>
          <w:szCs w:val="24"/>
        </w:rPr>
      </w:pPr>
      <m:oMath>
        <m:r>
          <w:rPr>
            <w:rFonts w:ascii="Cambria Math" w:hAnsi="Cambria Math" w:cs="Times New Roman"/>
            <w:sz w:val="24"/>
            <w:szCs w:val="24"/>
            <w:vertAlign w:val="subscript"/>
          </w:rPr>
          <m:t>β</m:t>
        </m:r>
      </m:oMath>
      <w:r w:rsidRPr="00061566">
        <w:rPr>
          <w:rFonts w:ascii="Times New Roman" w:hAnsi="Times New Roman" w:cs="Times New Roman"/>
          <w:sz w:val="24"/>
          <w:szCs w:val="24"/>
          <w:vertAlign w:val="subscript"/>
        </w:rPr>
        <w:t xml:space="preserve">0 </w:t>
      </w:r>
      <w:r w:rsidRPr="00061566">
        <w:rPr>
          <w:rFonts w:ascii="Times New Roman" w:eastAsiaTheme="minorEastAsia" w:hAnsi="Times New Roman" w:cs="Times New Roman"/>
          <w:sz w:val="24"/>
          <w:szCs w:val="24"/>
          <w:vertAlign w:val="subscript"/>
        </w:rPr>
        <w:t>is</w:t>
      </w:r>
      <w:r w:rsidRPr="00061566">
        <w:rPr>
          <w:rFonts w:ascii="Times New Roman" w:hAnsi="Times New Roman" w:cs="Times New Roman"/>
          <w:sz w:val="24"/>
          <w:szCs w:val="24"/>
        </w:rPr>
        <w:t xml:space="preserve"> the intercept. </w:t>
      </w:r>
    </w:p>
    <w:p w14:paraId="42B15301" w14:textId="17469B9A" w:rsidR="002847A9" w:rsidRPr="00061566" w:rsidRDefault="002847A9" w:rsidP="002847A9">
      <w:pPr>
        <w:spacing w:line="360" w:lineRule="auto"/>
        <w:rPr>
          <w:rFonts w:ascii="Times New Roman" w:hAnsi="Times New Roman" w:cs="Times New Roman"/>
          <w:b/>
          <w:bCs/>
          <w:sz w:val="24"/>
          <w:szCs w:val="24"/>
        </w:rPr>
      </w:pPr>
      <w:r w:rsidRPr="00061566">
        <w:rPr>
          <w:rFonts w:ascii="Times New Roman" w:hAnsi="Times New Roman" w:cs="Times New Roman"/>
          <w:b/>
          <w:bCs/>
          <w:sz w:val="24"/>
          <w:szCs w:val="24"/>
        </w:rPr>
        <w:t xml:space="preserve">4.2 Presentation of </w:t>
      </w:r>
      <w:r w:rsidR="00F9335E" w:rsidRPr="00061566">
        <w:rPr>
          <w:rFonts w:ascii="Times New Roman" w:hAnsi="Times New Roman" w:cs="Times New Roman"/>
          <w:b/>
          <w:bCs/>
          <w:sz w:val="24"/>
          <w:szCs w:val="24"/>
        </w:rPr>
        <w:t>R</w:t>
      </w:r>
      <w:r w:rsidRPr="00061566">
        <w:rPr>
          <w:rFonts w:ascii="Times New Roman" w:hAnsi="Times New Roman" w:cs="Times New Roman"/>
          <w:b/>
          <w:bCs/>
          <w:sz w:val="24"/>
          <w:szCs w:val="24"/>
        </w:rPr>
        <w:t>esult</w:t>
      </w:r>
    </w:p>
    <w:p w14:paraId="27CA2AA7" w14:textId="77777777" w:rsidR="002847A9" w:rsidRPr="00061566" w:rsidRDefault="002847A9" w:rsidP="002847A9">
      <w:pPr>
        <w:spacing w:line="360" w:lineRule="auto"/>
        <w:rPr>
          <w:rFonts w:ascii="Times New Roman" w:hAnsi="Times New Roman" w:cs="Times New Roman"/>
          <w:b/>
          <w:bCs/>
          <w:sz w:val="24"/>
          <w:szCs w:val="24"/>
        </w:rPr>
      </w:pPr>
      <w:r w:rsidRPr="00061566">
        <w:rPr>
          <w:rFonts w:ascii="Times New Roman" w:hAnsi="Times New Roman" w:cs="Times New Roman"/>
          <w:b/>
          <w:bCs/>
          <w:sz w:val="24"/>
          <w:szCs w:val="24"/>
        </w:rPr>
        <w:t>4.2.1 Descriptive statistics</w:t>
      </w:r>
    </w:p>
    <w:p w14:paraId="01900A63" w14:textId="77777777" w:rsidR="00537F74" w:rsidRDefault="00537F74" w:rsidP="002847A9">
      <w:pPr>
        <w:spacing w:line="480" w:lineRule="auto"/>
        <w:rPr>
          <w:rFonts w:ascii="Times New Roman" w:hAnsi="Times New Roman" w:cs="Times New Roman"/>
          <w:sz w:val="24"/>
          <w:szCs w:val="24"/>
        </w:rPr>
      </w:pPr>
      <w:r w:rsidRPr="00537F74">
        <w:rPr>
          <w:rFonts w:ascii="Times New Roman" w:hAnsi="Times New Roman" w:cs="Times New Roman"/>
          <w:sz w:val="24"/>
          <w:szCs w:val="24"/>
        </w:rPr>
        <w:t>In this part, we will detail the variables that were chosen by using various metrics of weighted average (standard deviation, mean, minimum and maximum). The capital structure topics (return on assets, short-term debt, long-term debt, and total debt), as well as the financial performance indicators, were summed up with the use of the means of central tendency (return on asset and return on equity).</w:t>
      </w:r>
    </w:p>
    <w:p w14:paraId="398E7BC1" w14:textId="07FEBEA8" w:rsidR="001E5AF8" w:rsidRPr="001E5AF8" w:rsidRDefault="002847A9" w:rsidP="001E5AF8">
      <w:pPr>
        <w:spacing w:line="480" w:lineRule="auto"/>
        <w:rPr>
          <w:rFonts w:ascii="Times New Roman" w:hAnsi="Times New Roman" w:cs="Times New Roman"/>
          <w:b/>
          <w:bCs/>
          <w:sz w:val="24"/>
          <w:szCs w:val="24"/>
        </w:rPr>
      </w:pPr>
      <w:r w:rsidRPr="00061566">
        <w:rPr>
          <w:rFonts w:ascii="Times New Roman" w:hAnsi="Times New Roman" w:cs="Times New Roman"/>
          <w:b/>
          <w:bCs/>
          <w:sz w:val="24"/>
          <w:szCs w:val="24"/>
        </w:rPr>
        <w:t>Table 4.1: Descriptive Statistics for capital structure and financial performance variables</w:t>
      </w:r>
    </w:p>
    <w:tbl>
      <w:tblPr>
        <w:tblW w:w="6720" w:type="dxa"/>
        <w:tblLook w:val="04A0" w:firstRow="1" w:lastRow="0" w:firstColumn="1" w:lastColumn="0" w:noHBand="0" w:noVBand="1"/>
      </w:tblPr>
      <w:tblGrid>
        <w:gridCol w:w="1136"/>
        <w:gridCol w:w="876"/>
        <w:gridCol w:w="1216"/>
        <w:gridCol w:w="1177"/>
        <w:gridCol w:w="876"/>
        <w:gridCol w:w="603"/>
        <w:gridCol w:w="960"/>
      </w:tblGrid>
      <w:tr w:rsidR="001E5AF8" w:rsidRPr="001E5AF8" w14:paraId="01514060" w14:textId="77777777" w:rsidTr="001E5AF8">
        <w:trPr>
          <w:trHeight w:val="645"/>
        </w:trPr>
        <w:tc>
          <w:tcPr>
            <w:tcW w:w="959" w:type="dxa"/>
            <w:tcBorders>
              <w:top w:val="single" w:sz="8" w:space="0" w:color="auto"/>
              <w:left w:val="nil"/>
              <w:bottom w:val="single" w:sz="8" w:space="0" w:color="auto"/>
              <w:right w:val="nil"/>
            </w:tcBorders>
            <w:shd w:val="clear" w:color="auto" w:fill="auto"/>
            <w:vAlign w:val="center"/>
            <w:hideMark/>
          </w:tcPr>
          <w:p w14:paraId="76CCE2F5"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Variables</w:t>
            </w:r>
          </w:p>
        </w:tc>
        <w:tc>
          <w:tcPr>
            <w:tcW w:w="935" w:type="dxa"/>
            <w:tcBorders>
              <w:top w:val="single" w:sz="8" w:space="0" w:color="auto"/>
              <w:left w:val="nil"/>
              <w:bottom w:val="single" w:sz="8" w:space="0" w:color="auto"/>
              <w:right w:val="nil"/>
            </w:tcBorders>
            <w:shd w:val="clear" w:color="auto" w:fill="auto"/>
            <w:vAlign w:val="center"/>
            <w:hideMark/>
          </w:tcPr>
          <w:p w14:paraId="2D2BCCDD"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 xml:space="preserve">Mean </w:t>
            </w:r>
          </w:p>
        </w:tc>
        <w:tc>
          <w:tcPr>
            <w:tcW w:w="1030" w:type="dxa"/>
            <w:tcBorders>
              <w:top w:val="single" w:sz="8" w:space="0" w:color="auto"/>
              <w:left w:val="nil"/>
              <w:bottom w:val="single" w:sz="8" w:space="0" w:color="auto"/>
              <w:right w:val="nil"/>
            </w:tcBorders>
            <w:shd w:val="clear" w:color="auto" w:fill="auto"/>
            <w:vAlign w:val="center"/>
            <w:hideMark/>
          </w:tcPr>
          <w:p w14:paraId="045EF781"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 xml:space="preserve">Maximum </w:t>
            </w:r>
          </w:p>
        </w:tc>
        <w:tc>
          <w:tcPr>
            <w:tcW w:w="991" w:type="dxa"/>
            <w:tcBorders>
              <w:top w:val="single" w:sz="8" w:space="0" w:color="auto"/>
              <w:left w:val="nil"/>
              <w:bottom w:val="single" w:sz="8" w:space="0" w:color="auto"/>
              <w:right w:val="nil"/>
            </w:tcBorders>
            <w:shd w:val="clear" w:color="auto" w:fill="auto"/>
            <w:vAlign w:val="center"/>
            <w:hideMark/>
          </w:tcPr>
          <w:p w14:paraId="4A49D2B3"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 xml:space="preserve">Minimum </w:t>
            </w:r>
          </w:p>
        </w:tc>
        <w:tc>
          <w:tcPr>
            <w:tcW w:w="935" w:type="dxa"/>
            <w:tcBorders>
              <w:top w:val="single" w:sz="8" w:space="0" w:color="auto"/>
              <w:left w:val="nil"/>
              <w:bottom w:val="single" w:sz="8" w:space="0" w:color="auto"/>
              <w:right w:val="nil"/>
            </w:tcBorders>
            <w:shd w:val="clear" w:color="auto" w:fill="auto"/>
            <w:vAlign w:val="center"/>
            <w:hideMark/>
          </w:tcPr>
          <w:p w14:paraId="0D24F7C5"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Std. Dev.</w:t>
            </w:r>
          </w:p>
        </w:tc>
        <w:tc>
          <w:tcPr>
            <w:tcW w:w="910" w:type="dxa"/>
            <w:tcBorders>
              <w:top w:val="single" w:sz="8" w:space="0" w:color="auto"/>
              <w:left w:val="nil"/>
              <w:bottom w:val="single" w:sz="8" w:space="0" w:color="auto"/>
              <w:right w:val="nil"/>
            </w:tcBorders>
            <w:shd w:val="clear" w:color="auto" w:fill="auto"/>
            <w:vAlign w:val="center"/>
            <w:hideMark/>
          </w:tcPr>
          <w:p w14:paraId="5E41F2C4"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proofErr w:type="spellStart"/>
            <w:r w:rsidRPr="001E5AF8">
              <w:rPr>
                <w:rFonts w:ascii="Times New Roman" w:eastAsia="Times New Roman" w:hAnsi="Times New Roman" w:cs="Times New Roman"/>
                <w:color w:val="000000"/>
                <w:sz w:val="24"/>
                <w:szCs w:val="24"/>
              </w:rPr>
              <w:t>Obs</w:t>
            </w:r>
            <w:proofErr w:type="spellEnd"/>
          </w:p>
        </w:tc>
        <w:tc>
          <w:tcPr>
            <w:tcW w:w="960" w:type="dxa"/>
            <w:tcBorders>
              <w:top w:val="nil"/>
              <w:left w:val="nil"/>
              <w:bottom w:val="nil"/>
              <w:right w:val="nil"/>
            </w:tcBorders>
            <w:shd w:val="clear" w:color="auto" w:fill="auto"/>
            <w:noWrap/>
            <w:vAlign w:val="bottom"/>
            <w:hideMark/>
          </w:tcPr>
          <w:p w14:paraId="230B3DDE"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p>
        </w:tc>
      </w:tr>
      <w:tr w:rsidR="001E5AF8" w:rsidRPr="001E5AF8" w14:paraId="36177511" w14:textId="77777777" w:rsidTr="001E5AF8">
        <w:trPr>
          <w:trHeight w:val="315"/>
        </w:trPr>
        <w:tc>
          <w:tcPr>
            <w:tcW w:w="959" w:type="dxa"/>
            <w:tcBorders>
              <w:top w:val="nil"/>
              <w:left w:val="nil"/>
              <w:bottom w:val="nil"/>
              <w:right w:val="nil"/>
            </w:tcBorders>
            <w:shd w:val="clear" w:color="auto" w:fill="auto"/>
            <w:vAlign w:val="center"/>
            <w:hideMark/>
          </w:tcPr>
          <w:p w14:paraId="251F445F"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ROA</w:t>
            </w:r>
          </w:p>
        </w:tc>
        <w:tc>
          <w:tcPr>
            <w:tcW w:w="935" w:type="dxa"/>
            <w:tcBorders>
              <w:top w:val="nil"/>
              <w:left w:val="nil"/>
              <w:bottom w:val="nil"/>
              <w:right w:val="nil"/>
            </w:tcBorders>
            <w:shd w:val="clear" w:color="auto" w:fill="auto"/>
            <w:vAlign w:val="center"/>
            <w:hideMark/>
          </w:tcPr>
          <w:p w14:paraId="3B8EAB68"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0.4531</w:t>
            </w:r>
          </w:p>
        </w:tc>
        <w:tc>
          <w:tcPr>
            <w:tcW w:w="1030" w:type="dxa"/>
            <w:tcBorders>
              <w:top w:val="nil"/>
              <w:left w:val="nil"/>
              <w:bottom w:val="nil"/>
              <w:right w:val="nil"/>
            </w:tcBorders>
            <w:shd w:val="clear" w:color="auto" w:fill="auto"/>
            <w:vAlign w:val="center"/>
            <w:hideMark/>
          </w:tcPr>
          <w:p w14:paraId="6B529147"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0.1472</w:t>
            </w:r>
          </w:p>
        </w:tc>
        <w:tc>
          <w:tcPr>
            <w:tcW w:w="991" w:type="dxa"/>
            <w:tcBorders>
              <w:top w:val="nil"/>
              <w:left w:val="nil"/>
              <w:bottom w:val="nil"/>
              <w:right w:val="nil"/>
            </w:tcBorders>
            <w:shd w:val="clear" w:color="auto" w:fill="auto"/>
            <w:vAlign w:val="center"/>
            <w:hideMark/>
          </w:tcPr>
          <w:p w14:paraId="599C46E1"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-0.012</w:t>
            </w:r>
          </w:p>
        </w:tc>
        <w:tc>
          <w:tcPr>
            <w:tcW w:w="935" w:type="dxa"/>
            <w:tcBorders>
              <w:top w:val="nil"/>
              <w:left w:val="nil"/>
              <w:bottom w:val="nil"/>
              <w:right w:val="nil"/>
            </w:tcBorders>
            <w:shd w:val="clear" w:color="auto" w:fill="auto"/>
            <w:vAlign w:val="center"/>
            <w:hideMark/>
          </w:tcPr>
          <w:p w14:paraId="5B5809C4"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43,343</w:t>
            </w:r>
          </w:p>
        </w:tc>
        <w:tc>
          <w:tcPr>
            <w:tcW w:w="910" w:type="dxa"/>
            <w:tcBorders>
              <w:top w:val="nil"/>
              <w:left w:val="nil"/>
              <w:bottom w:val="nil"/>
              <w:right w:val="nil"/>
            </w:tcBorders>
            <w:shd w:val="clear" w:color="auto" w:fill="auto"/>
            <w:vAlign w:val="center"/>
            <w:hideMark/>
          </w:tcPr>
          <w:p w14:paraId="5B7B90D9"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50</w:t>
            </w:r>
          </w:p>
        </w:tc>
        <w:tc>
          <w:tcPr>
            <w:tcW w:w="960" w:type="dxa"/>
            <w:tcBorders>
              <w:top w:val="nil"/>
              <w:left w:val="nil"/>
              <w:bottom w:val="nil"/>
              <w:right w:val="nil"/>
            </w:tcBorders>
            <w:shd w:val="clear" w:color="auto" w:fill="auto"/>
            <w:noWrap/>
            <w:vAlign w:val="bottom"/>
            <w:hideMark/>
          </w:tcPr>
          <w:p w14:paraId="2E70BD35"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p>
        </w:tc>
      </w:tr>
      <w:tr w:rsidR="001E5AF8" w:rsidRPr="001E5AF8" w14:paraId="3DCEB2E4" w14:textId="77777777" w:rsidTr="001E5AF8">
        <w:trPr>
          <w:trHeight w:val="315"/>
        </w:trPr>
        <w:tc>
          <w:tcPr>
            <w:tcW w:w="959" w:type="dxa"/>
            <w:tcBorders>
              <w:top w:val="nil"/>
              <w:left w:val="nil"/>
              <w:bottom w:val="nil"/>
              <w:right w:val="nil"/>
            </w:tcBorders>
            <w:shd w:val="clear" w:color="auto" w:fill="auto"/>
            <w:vAlign w:val="center"/>
            <w:hideMark/>
          </w:tcPr>
          <w:p w14:paraId="3CF2ECB6"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ROE</w:t>
            </w:r>
          </w:p>
        </w:tc>
        <w:tc>
          <w:tcPr>
            <w:tcW w:w="935" w:type="dxa"/>
            <w:tcBorders>
              <w:top w:val="nil"/>
              <w:left w:val="nil"/>
              <w:bottom w:val="nil"/>
              <w:right w:val="nil"/>
            </w:tcBorders>
            <w:shd w:val="clear" w:color="auto" w:fill="auto"/>
            <w:vAlign w:val="center"/>
            <w:hideMark/>
          </w:tcPr>
          <w:p w14:paraId="4E6FCC4C"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0.1451</w:t>
            </w:r>
          </w:p>
        </w:tc>
        <w:tc>
          <w:tcPr>
            <w:tcW w:w="1030" w:type="dxa"/>
            <w:tcBorders>
              <w:top w:val="nil"/>
              <w:left w:val="nil"/>
              <w:bottom w:val="nil"/>
              <w:right w:val="nil"/>
            </w:tcBorders>
            <w:shd w:val="clear" w:color="auto" w:fill="auto"/>
            <w:vAlign w:val="center"/>
            <w:hideMark/>
          </w:tcPr>
          <w:p w14:paraId="31FD52B5"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34.958</w:t>
            </w:r>
          </w:p>
        </w:tc>
        <w:tc>
          <w:tcPr>
            <w:tcW w:w="991" w:type="dxa"/>
            <w:tcBorders>
              <w:top w:val="nil"/>
              <w:left w:val="nil"/>
              <w:bottom w:val="nil"/>
              <w:right w:val="nil"/>
            </w:tcBorders>
            <w:shd w:val="clear" w:color="auto" w:fill="auto"/>
            <w:vAlign w:val="center"/>
            <w:hideMark/>
          </w:tcPr>
          <w:p w14:paraId="5E5AAE16"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-0.9843</w:t>
            </w:r>
          </w:p>
        </w:tc>
        <w:tc>
          <w:tcPr>
            <w:tcW w:w="935" w:type="dxa"/>
            <w:tcBorders>
              <w:top w:val="nil"/>
              <w:left w:val="nil"/>
              <w:bottom w:val="nil"/>
              <w:right w:val="nil"/>
            </w:tcBorders>
            <w:shd w:val="clear" w:color="auto" w:fill="auto"/>
            <w:vAlign w:val="center"/>
            <w:hideMark/>
          </w:tcPr>
          <w:p w14:paraId="57D57502"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3.424</w:t>
            </w:r>
          </w:p>
        </w:tc>
        <w:tc>
          <w:tcPr>
            <w:tcW w:w="910" w:type="dxa"/>
            <w:tcBorders>
              <w:top w:val="nil"/>
              <w:left w:val="nil"/>
              <w:bottom w:val="nil"/>
              <w:right w:val="nil"/>
            </w:tcBorders>
            <w:shd w:val="clear" w:color="auto" w:fill="auto"/>
            <w:vAlign w:val="center"/>
            <w:hideMark/>
          </w:tcPr>
          <w:p w14:paraId="32F6A099"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50</w:t>
            </w:r>
          </w:p>
        </w:tc>
        <w:tc>
          <w:tcPr>
            <w:tcW w:w="960" w:type="dxa"/>
            <w:tcBorders>
              <w:top w:val="nil"/>
              <w:left w:val="nil"/>
              <w:bottom w:val="nil"/>
              <w:right w:val="nil"/>
            </w:tcBorders>
            <w:shd w:val="clear" w:color="auto" w:fill="auto"/>
            <w:noWrap/>
            <w:vAlign w:val="bottom"/>
            <w:hideMark/>
          </w:tcPr>
          <w:p w14:paraId="3A7BE360"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p>
        </w:tc>
      </w:tr>
      <w:tr w:rsidR="001E5AF8" w:rsidRPr="001E5AF8" w14:paraId="3A93BCA1" w14:textId="77777777" w:rsidTr="001E5AF8">
        <w:trPr>
          <w:trHeight w:val="315"/>
        </w:trPr>
        <w:tc>
          <w:tcPr>
            <w:tcW w:w="959" w:type="dxa"/>
            <w:tcBorders>
              <w:top w:val="nil"/>
              <w:left w:val="nil"/>
              <w:bottom w:val="nil"/>
              <w:right w:val="nil"/>
            </w:tcBorders>
            <w:shd w:val="clear" w:color="auto" w:fill="auto"/>
            <w:vAlign w:val="center"/>
            <w:hideMark/>
          </w:tcPr>
          <w:p w14:paraId="3DB1A693"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LEQU</w:t>
            </w:r>
          </w:p>
        </w:tc>
        <w:tc>
          <w:tcPr>
            <w:tcW w:w="935" w:type="dxa"/>
            <w:tcBorders>
              <w:top w:val="nil"/>
              <w:left w:val="nil"/>
              <w:bottom w:val="nil"/>
              <w:right w:val="nil"/>
            </w:tcBorders>
            <w:shd w:val="clear" w:color="auto" w:fill="auto"/>
            <w:vAlign w:val="center"/>
            <w:hideMark/>
          </w:tcPr>
          <w:p w14:paraId="635035C2"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23.342</w:t>
            </w:r>
          </w:p>
        </w:tc>
        <w:tc>
          <w:tcPr>
            <w:tcW w:w="1030" w:type="dxa"/>
            <w:tcBorders>
              <w:top w:val="nil"/>
              <w:left w:val="nil"/>
              <w:bottom w:val="nil"/>
              <w:right w:val="nil"/>
            </w:tcBorders>
            <w:shd w:val="clear" w:color="auto" w:fill="auto"/>
            <w:vAlign w:val="center"/>
            <w:hideMark/>
          </w:tcPr>
          <w:p w14:paraId="172B43F2"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21.023</w:t>
            </w:r>
          </w:p>
        </w:tc>
        <w:tc>
          <w:tcPr>
            <w:tcW w:w="991" w:type="dxa"/>
            <w:tcBorders>
              <w:top w:val="nil"/>
              <w:left w:val="nil"/>
              <w:bottom w:val="nil"/>
              <w:right w:val="nil"/>
            </w:tcBorders>
            <w:shd w:val="clear" w:color="auto" w:fill="auto"/>
            <w:vAlign w:val="center"/>
            <w:hideMark/>
          </w:tcPr>
          <w:p w14:paraId="71DA670A"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3.5948</w:t>
            </w:r>
          </w:p>
        </w:tc>
        <w:tc>
          <w:tcPr>
            <w:tcW w:w="935" w:type="dxa"/>
            <w:tcBorders>
              <w:top w:val="nil"/>
              <w:left w:val="nil"/>
              <w:bottom w:val="nil"/>
              <w:right w:val="nil"/>
            </w:tcBorders>
            <w:shd w:val="clear" w:color="auto" w:fill="auto"/>
            <w:vAlign w:val="center"/>
            <w:hideMark/>
          </w:tcPr>
          <w:p w14:paraId="62AFD973"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32.345</w:t>
            </w:r>
          </w:p>
        </w:tc>
        <w:tc>
          <w:tcPr>
            <w:tcW w:w="910" w:type="dxa"/>
            <w:tcBorders>
              <w:top w:val="nil"/>
              <w:left w:val="nil"/>
              <w:bottom w:val="nil"/>
              <w:right w:val="nil"/>
            </w:tcBorders>
            <w:shd w:val="clear" w:color="auto" w:fill="auto"/>
            <w:vAlign w:val="center"/>
            <w:hideMark/>
          </w:tcPr>
          <w:p w14:paraId="0F36037F"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50</w:t>
            </w:r>
          </w:p>
        </w:tc>
        <w:tc>
          <w:tcPr>
            <w:tcW w:w="960" w:type="dxa"/>
            <w:tcBorders>
              <w:top w:val="nil"/>
              <w:left w:val="nil"/>
              <w:bottom w:val="nil"/>
              <w:right w:val="nil"/>
            </w:tcBorders>
            <w:shd w:val="clear" w:color="auto" w:fill="auto"/>
            <w:noWrap/>
            <w:vAlign w:val="bottom"/>
            <w:hideMark/>
          </w:tcPr>
          <w:p w14:paraId="2630D623"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p>
        </w:tc>
      </w:tr>
      <w:tr w:rsidR="001E5AF8" w:rsidRPr="001E5AF8" w14:paraId="5DDBEDAE" w14:textId="77777777" w:rsidTr="001E5AF8">
        <w:trPr>
          <w:trHeight w:val="315"/>
        </w:trPr>
        <w:tc>
          <w:tcPr>
            <w:tcW w:w="959" w:type="dxa"/>
            <w:tcBorders>
              <w:top w:val="nil"/>
              <w:left w:val="nil"/>
              <w:bottom w:val="nil"/>
              <w:right w:val="nil"/>
            </w:tcBorders>
            <w:shd w:val="clear" w:color="auto" w:fill="auto"/>
            <w:vAlign w:val="center"/>
            <w:hideMark/>
          </w:tcPr>
          <w:p w14:paraId="50B84401"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LTOD</w:t>
            </w:r>
          </w:p>
        </w:tc>
        <w:tc>
          <w:tcPr>
            <w:tcW w:w="935" w:type="dxa"/>
            <w:tcBorders>
              <w:top w:val="nil"/>
              <w:left w:val="nil"/>
              <w:bottom w:val="nil"/>
              <w:right w:val="nil"/>
            </w:tcBorders>
            <w:shd w:val="clear" w:color="auto" w:fill="auto"/>
            <w:vAlign w:val="center"/>
            <w:hideMark/>
          </w:tcPr>
          <w:p w14:paraId="4815BA32"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23.232</w:t>
            </w:r>
          </w:p>
        </w:tc>
        <w:tc>
          <w:tcPr>
            <w:tcW w:w="1030" w:type="dxa"/>
            <w:tcBorders>
              <w:top w:val="nil"/>
              <w:left w:val="nil"/>
              <w:bottom w:val="nil"/>
              <w:right w:val="nil"/>
            </w:tcBorders>
            <w:shd w:val="clear" w:color="auto" w:fill="auto"/>
            <w:vAlign w:val="center"/>
            <w:hideMark/>
          </w:tcPr>
          <w:p w14:paraId="0494F638"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9.483</w:t>
            </w:r>
          </w:p>
        </w:tc>
        <w:tc>
          <w:tcPr>
            <w:tcW w:w="991" w:type="dxa"/>
            <w:tcBorders>
              <w:top w:val="nil"/>
              <w:left w:val="nil"/>
              <w:bottom w:val="nil"/>
              <w:right w:val="nil"/>
            </w:tcBorders>
            <w:shd w:val="clear" w:color="auto" w:fill="auto"/>
            <w:vAlign w:val="center"/>
            <w:hideMark/>
          </w:tcPr>
          <w:p w14:paraId="61B684F4"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14,056</w:t>
            </w:r>
          </w:p>
        </w:tc>
        <w:tc>
          <w:tcPr>
            <w:tcW w:w="935" w:type="dxa"/>
            <w:tcBorders>
              <w:top w:val="nil"/>
              <w:left w:val="nil"/>
              <w:bottom w:val="nil"/>
              <w:right w:val="nil"/>
            </w:tcBorders>
            <w:shd w:val="clear" w:color="auto" w:fill="auto"/>
            <w:vAlign w:val="center"/>
            <w:hideMark/>
          </w:tcPr>
          <w:p w14:paraId="321770D7"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6.345</w:t>
            </w:r>
          </w:p>
        </w:tc>
        <w:tc>
          <w:tcPr>
            <w:tcW w:w="910" w:type="dxa"/>
            <w:tcBorders>
              <w:top w:val="nil"/>
              <w:left w:val="nil"/>
              <w:bottom w:val="nil"/>
              <w:right w:val="nil"/>
            </w:tcBorders>
            <w:shd w:val="clear" w:color="auto" w:fill="auto"/>
            <w:vAlign w:val="center"/>
            <w:hideMark/>
          </w:tcPr>
          <w:p w14:paraId="4850A6AC"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50</w:t>
            </w:r>
          </w:p>
        </w:tc>
        <w:tc>
          <w:tcPr>
            <w:tcW w:w="960" w:type="dxa"/>
            <w:tcBorders>
              <w:top w:val="nil"/>
              <w:left w:val="nil"/>
              <w:bottom w:val="nil"/>
              <w:right w:val="nil"/>
            </w:tcBorders>
            <w:shd w:val="clear" w:color="auto" w:fill="auto"/>
            <w:noWrap/>
            <w:vAlign w:val="bottom"/>
            <w:hideMark/>
          </w:tcPr>
          <w:p w14:paraId="5916E1A9"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p>
        </w:tc>
      </w:tr>
      <w:tr w:rsidR="001E5AF8" w:rsidRPr="001E5AF8" w14:paraId="081BB8F5" w14:textId="77777777" w:rsidTr="001E5AF8">
        <w:trPr>
          <w:trHeight w:val="330"/>
        </w:trPr>
        <w:tc>
          <w:tcPr>
            <w:tcW w:w="959" w:type="dxa"/>
            <w:tcBorders>
              <w:top w:val="nil"/>
              <w:left w:val="nil"/>
              <w:bottom w:val="single" w:sz="8" w:space="0" w:color="auto"/>
              <w:right w:val="nil"/>
            </w:tcBorders>
            <w:shd w:val="clear" w:color="auto" w:fill="auto"/>
            <w:vAlign w:val="center"/>
            <w:hideMark/>
          </w:tcPr>
          <w:p w14:paraId="593A0B85" w14:textId="77777777" w:rsidR="001E5AF8" w:rsidRPr="001E5AF8" w:rsidRDefault="001E5AF8" w:rsidP="001E5AF8">
            <w:pPr>
              <w:spacing w:after="0" w:line="240" w:lineRule="auto"/>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LTOA</w:t>
            </w:r>
          </w:p>
        </w:tc>
        <w:tc>
          <w:tcPr>
            <w:tcW w:w="935" w:type="dxa"/>
            <w:tcBorders>
              <w:top w:val="nil"/>
              <w:left w:val="nil"/>
              <w:bottom w:val="single" w:sz="8" w:space="0" w:color="auto"/>
              <w:right w:val="nil"/>
            </w:tcBorders>
            <w:shd w:val="clear" w:color="auto" w:fill="auto"/>
            <w:vAlign w:val="center"/>
            <w:hideMark/>
          </w:tcPr>
          <w:p w14:paraId="22D8C8F5"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45.394</w:t>
            </w:r>
          </w:p>
        </w:tc>
        <w:tc>
          <w:tcPr>
            <w:tcW w:w="1030" w:type="dxa"/>
            <w:tcBorders>
              <w:top w:val="nil"/>
              <w:left w:val="nil"/>
              <w:bottom w:val="single" w:sz="8" w:space="0" w:color="auto"/>
              <w:right w:val="nil"/>
            </w:tcBorders>
            <w:shd w:val="clear" w:color="auto" w:fill="auto"/>
            <w:vAlign w:val="center"/>
            <w:hideMark/>
          </w:tcPr>
          <w:p w14:paraId="71A21819"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42.204</w:t>
            </w:r>
          </w:p>
        </w:tc>
        <w:tc>
          <w:tcPr>
            <w:tcW w:w="991" w:type="dxa"/>
            <w:tcBorders>
              <w:top w:val="nil"/>
              <w:left w:val="nil"/>
              <w:bottom w:val="single" w:sz="8" w:space="0" w:color="auto"/>
              <w:right w:val="nil"/>
            </w:tcBorders>
            <w:shd w:val="clear" w:color="auto" w:fill="auto"/>
            <w:vAlign w:val="center"/>
            <w:hideMark/>
          </w:tcPr>
          <w:p w14:paraId="728360A7"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32.345</w:t>
            </w:r>
          </w:p>
        </w:tc>
        <w:tc>
          <w:tcPr>
            <w:tcW w:w="935" w:type="dxa"/>
            <w:tcBorders>
              <w:top w:val="nil"/>
              <w:left w:val="nil"/>
              <w:bottom w:val="single" w:sz="8" w:space="0" w:color="auto"/>
              <w:right w:val="nil"/>
            </w:tcBorders>
            <w:shd w:val="clear" w:color="auto" w:fill="auto"/>
            <w:vAlign w:val="center"/>
            <w:hideMark/>
          </w:tcPr>
          <w:p w14:paraId="351FE453"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14,567</w:t>
            </w:r>
          </w:p>
        </w:tc>
        <w:tc>
          <w:tcPr>
            <w:tcW w:w="910" w:type="dxa"/>
            <w:tcBorders>
              <w:top w:val="nil"/>
              <w:left w:val="nil"/>
              <w:bottom w:val="single" w:sz="8" w:space="0" w:color="auto"/>
              <w:right w:val="nil"/>
            </w:tcBorders>
            <w:shd w:val="clear" w:color="auto" w:fill="auto"/>
            <w:vAlign w:val="center"/>
            <w:hideMark/>
          </w:tcPr>
          <w:p w14:paraId="23870F28"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r w:rsidRPr="001E5AF8">
              <w:rPr>
                <w:rFonts w:ascii="Times New Roman" w:eastAsia="Times New Roman" w:hAnsi="Times New Roman" w:cs="Times New Roman"/>
                <w:color w:val="000000"/>
                <w:sz w:val="24"/>
                <w:szCs w:val="24"/>
              </w:rPr>
              <w:t>50</w:t>
            </w:r>
          </w:p>
        </w:tc>
        <w:tc>
          <w:tcPr>
            <w:tcW w:w="960" w:type="dxa"/>
            <w:tcBorders>
              <w:top w:val="nil"/>
              <w:left w:val="nil"/>
              <w:bottom w:val="nil"/>
              <w:right w:val="nil"/>
            </w:tcBorders>
            <w:shd w:val="clear" w:color="auto" w:fill="auto"/>
            <w:noWrap/>
            <w:vAlign w:val="bottom"/>
            <w:hideMark/>
          </w:tcPr>
          <w:p w14:paraId="0F5D448E" w14:textId="77777777" w:rsidR="001E5AF8" w:rsidRPr="001E5AF8" w:rsidRDefault="001E5AF8" w:rsidP="001E5AF8">
            <w:pPr>
              <w:spacing w:after="0" w:line="240" w:lineRule="auto"/>
              <w:jc w:val="right"/>
              <w:rPr>
                <w:rFonts w:ascii="Times New Roman" w:eastAsia="Times New Roman" w:hAnsi="Times New Roman" w:cs="Times New Roman"/>
                <w:color w:val="000000"/>
                <w:sz w:val="24"/>
                <w:szCs w:val="24"/>
              </w:rPr>
            </w:pPr>
          </w:p>
        </w:tc>
      </w:tr>
    </w:tbl>
    <w:p w14:paraId="505B054C" w14:textId="77777777" w:rsidR="001E5AF8" w:rsidRDefault="001E5AF8" w:rsidP="00F9335E">
      <w:pPr>
        <w:spacing w:line="276" w:lineRule="auto"/>
        <w:jc w:val="both"/>
        <w:rPr>
          <w:rFonts w:ascii="Times New Roman" w:hAnsi="Times New Roman" w:cs="Times New Roman"/>
          <w:sz w:val="24"/>
          <w:szCs w:val="24"/>
        </w:rPr>
      </w:pPr>
    </w:p>
    <w:p w14:paraId="79CCA9D6" w14:textId="786185E8" w:rsidR="00F9335E" w:rsidRPr="00061566" w:rsidRDefault="001E5AF8" w:rsidP="00F9335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Author compilation </w:t>
      </w:r>
      <w:r w:rsidR="00767A4C">
        <w:rPr>
          <w:rFonts w:ascii="Times New Roman" w:hAnsi="Times New Roman" w:cs="Times New Roman"/>
          <w:sz w:val="24"/>
          <w:szCs w:val="24"/>
        </w:rPr>
        <w:t>E</w:t>
      </w:r>
      <w:r>
        <w:rPr>
          <w:rFonts w:ascii="Times New Roman" w:hAnsi="Times New Roman" w:cs="Times New Roman"/>
          <w:sz w:val="24"/>
          <w:szCs w:val="24"/>
        </w:rPr>
        <w:t>-</w:t>
      </w:r>
      <w:r w:rsidR="00767A4C">
        <w:rPr>
          <w:rFonts w:ascii="Times New Roman" w:hAnsi="Times New Roman" w:cs="Times New Roman"/>
          <w:sz w:val="24"/>
          <w:szCs w:val="24"/>
        </w:rPr>
        <w:t>view output (2022)</w:t>
      </w:r>
    </w:p>
    <w:p w14:paraId="1BFC1762" w14:textId="30CDBDB0" w:rsidR="00767A4C" w:rsidRDefault="00F573B4" w:rsidP="00F573B4">
      <w:pPr>
        <w:spacing w:line="360" w:lineRule="auto"/>
        <w:jc w:val="both"/>
        <w:rPr>
          <w:rFonts w:ascii="Times New Roman" w:hAnsi="Times New Roman" w:cs="Times New Roman"/>
          <w:sz w:val="24"/>
          <w:szCs w:val="24"/>
        </w:rPr>
      </w:pPr>
      <w:r w:rsidRPr="00F573B4">
        <w:rPr>
          <w:rFonts w:ascii="Times New Roman" w:hAnsi="Times New Roman" w:cs="Times New Roman"/>
          <w:sz w:val="24"/>
          <w:szCs w:val="24"/>
        </w:rPr>
        <w:t>The values of the mean, maximum, and minimum as well as the standard deviation of the following variables are provided in Table 4.1; the dependent variables are return on asset (ROA) and return on equity (ROE), respectively (ROE). A number of different manufacturing businesses in Nigeria were investigated with the use of independent variables such as equity (LEQU), total loan and debt (LTOD), long-term debt (), short-term debt (), and total asset (LTOA). When determining all of the statistics, researchers looked at data from a total of 160 company-</w:t>
      </w:r>
      <w:proofErr w:type="spellStart"/>
      <w:r w:rsidRPr="00F573B4">
        <w:rPr>
          <w:rFonts w:ascii="Times New Roman" w:hAnsi="Times New Roman" w:cs="Times New Roman"/>
          <w:sz w:val="24"/>
          <w:szCs w:val="24"/>
        </w:rPr>
        <w:t>years worth</w:t>
      </w:r>
      <w:proofErr w:type="spellEnd"/>
      <w:r w:rsidRPr="00F573B4">
        <w:rPr>
          <w:rFonts w:ascii="Times New Roman" w:hAnsi="Times New Roman" w:cs="Times New Roman"/>
          <w:sz w:val="24"/>
          <w:szCs w:val="24"/>
        </w:rPr>
        <w:t xml:space="preserve"> of operations from 10 different manufacturing organizations in Nigeria. It was determined that using Stata 14 would result in an improvement in the accuracy of the estimation process.</w:t>
      </w:r>
    </w:p>
    <w:p w14:paraId="5FF2E001" w14:textId="2A939FB3" w:rsidR="00767A4C" w:rsidRDefault="00767A4C" w:rsidP="00F573B4">
      <w:pPr>
        <w:spacing w:line="360" w:lineRule="auto"/>
        <w:jc w:val="both"/>
        <w:rPr>
          <w:rFonts w:ascii="Times New Roman" w:hAnsi="Times New Roman" w:cs="Times New Roman"/>
          <w:sz w:val="24"/>
          <w:szCs w:val="24"/>
        </w:rPr>
      </w:pPr>
      <w:r>
        <w:rPr>
          <w:noProof/>
        </w:rPr>
        <w:drawing>
          <wp:inline distT="0" distB="0" distL="0" distR="0" wp14:anchorId="7C624F92" wp14:editId="71B6A57E">
            <wp:extent cx="4572000" cy="2743200"/>
            <wp:effectExtent l="0" t="0" r="0" b="0"/>
            <wp:docPr id="1" name="Chart 1">
              <a:extLst xmlns:a="http://schemas.openxmlformats.org/drawingml/2006/main">
                <a:ext uri="{FF2B5EF4-FFF2-40B4-BE49-F238E27FC236}">
                  <a16:creationId xmlns:a16="http://schemas.microsoft.com/office/drawing/2014/main" id="{939C1A5D-D547-E920-B345-2EAE97C75E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D4F10B5" w14:textId="46598BEE" w:rsidR="002847A9" w:rsidRPr="00061566" w:rsidRDefault="002847A9" w:rsidP="002847A9">
      <w:pPr>
        <w:spacing w:line="360" w:lineRule="auto"/>
        <w:rPr>
          <w:rFonts w:ascii="Times New Roman" w:hAnsi="Times New Roman" w:cs="Times New Roman"/>
          <w:b/>
          <w:bCs/>
          <w:sz w:val="24"/>
          <w:szCs w:val="24"/>
        </w:rPr>
      </w:pPr>
      <w:r w:rsidRPr="00061566">
        <w:rPr>
          <w:rFonts w:ascii="Times New Roman" w:hAnsi="Times New Roman" w:cs="Times New Roman"/>
          <w:b/>
          <w:bCs/>
          <w:sz w:val="24"/>
          <w:szCs w:val="24"/>
        </w:rPr>
        <w:t xml:space="preserve">Interpretation </w:t>
      </w:r>
    </w:p>
    <w:p w14:paraId="796B039D" w14:textId="77777777" w:rsidR="00F573B4" w:rsidRPr="00F573B4" w:rsidRDefault="00F573B4" w:rsidP="006E3563">
      <w:pPr>
        <w:spacing w:line="276" w:lineRule="auto"/>
        <w:jc w:val="both"/>
        <w:rPr>
          <w:rFonts w:ascii="Times New Roman" w:hAnsi="Times New Roman" w:cs="Times New Roman"/>
          <w:sz w:val="24"/>
          <w:szCs w:val="24"/>
        </w:rPr>
      </w:pPr>
      <w:r w:rsidRPr="00F573B4">
        <w:rPr>
          <w:rFonts w:ascii="Times New Roman" w:hAnsi="Times New Roman" w:cs="Times New Roman"/>
          <w:sz w:val="24"/>
          <w:szCs w:val="24"/>
        </w:rPr>
        <w:t>Table 4.1 presents ROA's mean value, which is 0.0211, along with its standard deviation (0.391). This demonstrates how closely clusters are aligned with the average return on assets. Return on assets for companies is 2%, which is positive but not very high. The resources of the company are resulting in a healthy operational surplus. During the time covered by this study, Nigerian companies created very little value for their various stakeholders. A ROA of 2 percent indicates that asset managers are not operating at optimal efficiency. There is a lack of investor interest in companies. As a kind of capital structure, total debt, equity, long-term debt, and short-term debt were used by all tested manufacturing companies, on average. There is a standard deviation of 39 percent for the independent variable. The range of 0.227 to -0.205 demonstrates that different manufacturing enterprises in Nigeria have diverse degrees of efficiency and practices. Mixed performance may be inferred from the fact that some of the manufacturing companies that were tested provide great returns for their stakeholders while others produce negative returns.</w:t>
      </w:r>
    </w:p>
    <w:p w14:paraId="1976A1C3" w14:textId="77777777" w:rsidR="00F573B4" w:rsidRPr="00F573B4" w:rsidRDefault="00F573B4" w:rsidP="006E3563">
      <w:pPr>
        <w:spacing w:line="276" w:lineRule="auto"/>
        <w:jc w:val="both"/>
        <w:rPr>
          <w:rFonts w:ascii="Times New Roman" w:hAnsi="Times New Roman" w:cs="Times New Roman"/>
          <w:sz w:val="24"/>
          <w:szCs w:val="24"/>
        </w:rPr>
      </w:pPr>
      <w:r w:rsidRPr="00F573B4">
        <w:rPr>
          <w:rFonts w:ascii="Times New Roman" w:hAnsi="Times New Roman" w:cs="Times New Roman"/>
          <w:sz w:val="24"/>
          <w:szCs w:val="24"/>
        </w:rPr>
        <w:t>The mean ROE is 0.1771, and This demonstrates that manufacturing companies make strong returns on shareholder equity on a normal basis. This demonstrates that a significant number of firms are capable of producing large shareholder returns. The 95 percent STD demonstrates that the chosen companies have varying degrees of success in generating high shareholder returns. The range of values from a maximum of 10.75 to a low of -0.3796 indicates that relative business characteristics have an effect on profitability. While some businesses are successful at making a profit, others are not.</w:t>
      </w:r>
    </w:p>
    <w:p w14:paraId="772875E7" w14:textId="3B1BC3E2" w:rsidR="00F573B4" w:rsidRPr="00F573B4" w:rsidRDefault="00F573B4" w:rsidP="006E3563">
      <w:pPr>
        <w:spacing w:line="276" w:lineRule="auto"/>
        <w:jc w:val="both"/>
        <w:rPr>
          <w:rFonts w:ascii="Times New Roman" w:hAnsi="Times New Roman" w:cs="Times New Roman"/>
          <w:sz w:val="24"/>
          <w:szCs w:val="24"/>
        </w:rPr>
      </w:pPr>
      <w:r w:rsidRPr="00F573B4">
        <w:rPr>
          <w:rFonts w:ascii="Times New Roman" w:hAnsi="Times New Roman" w:cs="Times New Roman"/>
          <w:sz w:val="24"/>
          <w:szCs w:val="24"/>
        </w:rPr>
        <w:t xml:space="preserve">Equity's mean value is 15.597. This indicates that the proportion of equity in the chosen manufacturer's capital structure is 15.597 percent. This indicates that the majority of the chosen manufacturing companies have a lower-than-average equity. With a value of 2.63 percent for the LEQU STD, it can be deduced that there is not much equity capital dispersion. The minimum required is 8.4121, while the maximum allowed is 20.88. There are certain companies that have a large range of equity capital, while others have a low range. The logarithm of the total debt is 15.184. The overall debt accounts for 15.184 percent of the capital structure of the chosen </w:t>
      </w:r>
      <w:r w:rsidR="003713C7">
        <w:rPr>
          <w:rFonts w:ascii="Times New Roman" w:hAnsi="Times New Roman" w:cs="Times New Roman"/>
          <w:sz w:val="24"/>
          <w:szCs w:val="24"/>
        </w:rPr>
        <w:t>manufacturing</w:t>
      </w:r>
      <w:r w:rsidRPr="00F573B4">
        <w:rPr>
          <w:rFonts w:ascii="Times New Roman" w:hAnsi="Times New Roman" w:cs="Times New Roman"/>
          <w:sz w:val="24"/>
          <w:szCs w:val="24"/>
        </w:rPr>
        <w:t xml:space="preserve"> companies. The standard deviation, which was calculated to be 2.953 percent, reveals that there was very little clustering around the mean. The smallest amount of equity is 9.625, and the maximum is 20.83. This implies that certain manufacturing companies have high overall debt, while others have low debt relative to their total assets.</w:t>
      </w:r>
    </w:p>
    <w:p w14:paraId="6E60C18E" w14:textId="52A3D41A" w:rsidR="006E3563" w:rsidRDefault="00F573B4" w:rsidP="006E3563">
      <w:pPr>
        <w:spacing w:line="276" w:lineRule="auto"/>
        <w:jc w:val="both"/>
        <w:rPr>
          <w:rFonts w:ascii="Times New Roman" w:hAnsi="Times New Roman" w:cs="Times New Roman"/>
          <w:sz w:val="24"/>
          <w:szCs w:val="24"/>
        </w:rPr>
      </w:pPr>
      <w:r w:rsidRPr="00F573B4">
        <w:rPr>
          <w:rFonts w:ascii="Times New Roman" w:hAnsi="Times New Roman" w:cs="Times New Roman"/>
          <w:sz w:val="24"/>
          <w:szCs w:val="24"/>
        </w:rPr>
        <w:t xml:space="preserve">The average logarithm of long-term debt comes to 15,005. This indicates that the manufacturing company's long-term debt makes up 15% of its total capital structure. Since this figure is relatively low, it can be inferred that the majority of the sampled manufacturing companies had a lower-than-average level of long-term debt. Because the standard deviation of long-term debt is just 3.029 percent, it can be deduced that the tested manufacturing companies have very little variation in their long-term debt. The largest possible amount of long-term debt is 20,89, and the absolute lowest is 9,625. Because of this, the chosen </w:t>
      </w:r>
      <w:r w:rsidR="003713C7">
        <w:rPr>
          <w:rFonts w:ascii="Times New Roman" w:hAnsi="Times New Roman" w:cs="Times New Roman"/>
          <w:sz w:val="24"/>
          <w:szCs w:val="24"/>
        </w:rPr>
        <w:t>manufacturing</w:t>
      </w:r>
      <w:r w:rsidRPr="00F573B4">
        <w:rPr>
          <w:rFonts w:ascii="Times New Roman" w:hAnsi="Times New Roman" w:cs="Times New Roman"/>
          <w:sz w:val="24"/>
          <w:szCs w:val="24"/>
        </w:rPr>
        <w:t xml:space="preserve"> companies have varying degrees of long-term debt. The average logarithm value </w:t>
      </w:r>
      <w:proofErr w:type="gramStart"/>
      <w:r w:rsidRPr="00F573B4">
        <w:rPr>
          <w:rFonts w:ascii="Times New Roman" w:hAnsi="Times New Roman" w:cs="Times New Roman"/>
          <w:sz w:val="24"/>
          <w:szCs w:val="24"/>
        </w:rPr>
        <w:t>for  is</w:t>
      </w:r>
      <w:proofErr w:type="gramEnd"/>
      <w:r w:rsidRPr="00F573B4">
        <w:rPr>
          <w:rFonts w:ascii="Times New Roman" w:hAnsi="Times New Roman" w:cs="Times New Roman"/>
          <w:sz w:val="24"/>
          <w:szCs w:val="24"/>
        </w:rPr>
        <w:t xml:space="preserve"> 13.798. This demonstrates that the chosen manufacturer's capital structure has a short-term debt component that is 13.798 percent. Because this value is low, the vast majority of the chosen manufacturing companies have below-average levels of short-term debt. The standard deviation of short-term debt </w:t>
      </w:r>
      <w:proofErr w:type="gramStart"/>
      <w:r w:rsidRPr="00F573B4">
        <w:rPr>
          <w:rFonts w:ascii="Times New Roman" w:hAnsi="Times New Roman" w:cs="Times New Roman"/>
          <w:sz w:val="24"/>
          <w:szCs w:val="24"/>
        </w:rPr>
        <w:t>for  is</w:t>
      </w:r>
      <w:proofErr w:type="gramEnd"/>
      <w:r w:rsidRPr="00F573B4">
        <w:rPr>
          <w:rFonts w:ascii="Times New Roman" w:hAnsi="Times New Roman" w:cs="Times New Roman"/>
          <w:sz w:val="24"/>
          <w:szCs w:val="24"/>
        </w:rPr>
        <w:t xml:space="preserve"> 2.976 percent, which indicates modest short-term debt divergence across the tested manufacturing companies. The most that may be owed on a short-term basis is 19,71, while the absolute minimum is 7,4588. Because of this, the use of short-term debt among the </w:t>
      </w:r>
      <w:r w:rsidR="003713C7">
        <w:rPr>
          <w:rFonts w:ascii="Times New Roman" w:hAnsi="Times New Roman" w:cs="Times New Roman"/>
          <w:sz w:val="24"/>
          <w:szCs w:val="24"/>
        </w:rPr>
        <w:t>manufacturing</w:t>
      </w:r>
      <w:r w:rsidRPr="00F573B4">
        <w:rPr>
          <w:rFonts w:ascii="Times New Roman" w:hAnsi="Times New Roman" w:cs="Times New Roman"/>
          <w:sz w:val="24"/>
          <w:szCs w:val="24"/>
        </w:rPr>
        <w:t xml:space="preserve"> companies is variable. 17.139 is the mean value of the logarithm of total assets. This signifies </w:t>
      </w:r>
      <w:r w:rsidR="007C621E" w:rsidRPr="00F573B4">
        <w:rPr>
          <w:rFonts w:ascii="Times New Roman" w:hAnsi="Times New Roman" w:cs="Times New Roman"/>
          <w:sz w:val="24"/>
          <w:szCs w:val="24"/>
        </w:rPr>
        <w:t>those businesses</w:t>
      </w:r>
      <w:r w:rsidRPr="00F573B4">
        <w:rPr>
          <w:rFonts w:ascii="Times New Roman" w:hAnsi="Times New Roman" w:cs="Times New Roman"/>
          <w:sz w:val="24"/>
          <w:szCs w:val="24"/>
        </w:rPr>
        <w:t xml:space="preserve"> have enough assets to continue operating. The range of values from maximum 22.57 to lowest 12.495 indicates a large amount of inconsistency across the selected companies. A standard deviation of 2.952 indicates that there is a significant amount of variation around the mean.</w:t>
      </w:r>
    </w:p>
    <w:p w14:paraId="560DCF2B" w14:textId="5D9D15F8" w:rsidR="002847A9" w:rsidRPr="00061566" w:rsidRDefault="002847A9" w:rsidP="00F573B4">
      <w:pPr>
        <w:spacing w:line="480" w:lineRule="auto"/>
        <w:rPr>
          <w:rFonts w:ascii="Times New Roman" w:hAnsi="Times New Roman" w:cs="Times New Roman"/>
          <w:b/>
          <w:bCs/>
          <w:sz w:val="24"/>
          <w:szCs w:val="24"/>
        </w:rPr>
      </w:pPr>
      <w:r w:rsidRPr="00061566">
        <w:rPr>
          <w:rFonts w:ascii="Times New Roman" w:hAnsi="Times New Roman" w:cs="Times New Roman"/>
          <w:b/>
          <w:bCs/>
          <w:sz w:val="24"/>
          <w:szCs w:val="24"/>
        </w:rPr>
        <w:t xml:space="preserve">Table 4.2 Result of Pearson Correlation Matrix </w:t>
      </w:r>
    </w:p>
    <w:tbl>
      <w:tblPr>
        <w:tblW w:w="6930" w:type="dxa"/>
        <w:tblInd w:w="-5" w:type="dxa"/>
        <w:tblLayout w:type="fixed"/>
        <w:tblLook w:val="04A0" w:firstRow="1" w:lastRow="0" w:firstColumn="1" w:lastColumn="0" w:noHBand="0" w:noVBand="1"/>
      </w:tblPr>
      <w:tblGrid>
        <w:gridCol w:w="990"/>
        <w:gridCol w:w="1350"/>
        <w:gridCol w:w="1170"/>
        <w:gridCol w:w="1260"/>
        <w:gridCol w:w="1170"/>
        <w:gridCol w:w="990"/>
      </w:tblGrid>
      <w:tr w:rsidR="006E3563" w:rsidRPr="00061566" w14:paraId="6A043A6A" w14:textId="77777777" w:rsidTr="006E3563">
        <w:trPr>
          <w:trHeight w:val="31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17EC2"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Var.</w:t>
            </w:r>
          </w:p>
        </w:tc>
        <w:tc>
          <w:tcPr>
            <w:tcW w:w="1350" w:type="dxa"/>
            <w:tcBorders>
              <w:top w:val="single" w:sz="4" w:space="0" w:color="auto"/>
              <w:left w:val="nil"/>
              <w:bottom w:val="single" w:sz="4" w:space="0" w:color="auto"/>
              <w:right w:val="single" w:sz="4" w:space="0" w:color="auto"/>
            </w:tcBorders>
            <w:shd w:val="clear" w:color="auto" w:fill="auto"/>
            <w:vAlign w:val="center"/>
          </w:tcPr>
          <w:p w14:paraId="01F8C607"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ROA</w:t>
            </w:r>
          </w:p>
        </w:tc>
        <w:tc>
          <w:tcPr>
            <w:tcW w:w="1170" w:type="dxa"/>
            <w:tcBorders>
              <w:top w:val="single" w:sz="4" w:space="0" w:color="auto"/>
              <w:left w:val="nil"/>
              <w:bottom w:val="single" w:sz="4" w:space="0" w:color="auto"/>
              <w:right w:val="single" w:sz="4" w:space="0" w:color="auto"/>
            </w:tcBorders>
            <w:shd w:val="clear" w:color="auto" w:fill="auto"/>
            <w:vAlign w:val="center"/>
          </w:tcPr>
          <w:p w14:paraId="3FD19D3C"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ROE</w:t>
            </w:r>
          </w:p>
        </w:tc>
        <w:tc>
          <w:tcPr>
            <w:tcW w:w="1260" w:type="dxa"/>
            <w:tcBorders>
              <w:top w:val="single" w:sz="4" w:space="0" w:color="auto"/>
              <w:left w:val="nil"/>
              <w:bottom w:val="single" w:sz="4" w:space="0" w:color="auto"/>
              <w:right w:val="single" w:sz="4" w:space="0" w:color="auto"/>
            </w:tcBorders>
            <w:shd w:val="clear" w:color="auto" w:fill="auto"/>
            <w:vAlign w:val="center"/>
          </w:tcPr>
          <w:p w14:paraId="6789E475"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LEQU</w:t>
            </w:r>
          </w:p>
        </w:tc>
        <w:tc>
          <w:tcPr>
            <w:tcW w:w="1170" w:type="dxa"/>
            <w:tcBorders>
              <w:top w:val="single" w:sz="4" w:space="0" w:color="auto"/>
              <w:left w:val="nil"/>
              <w:bottom w:val="single" w:sz="4" w:space="0" w:color="auto"/>
              <w:right w:val="single" w:sz="4" w:space="0" w:color="auto"/>
            </w:tcBorders>
            <w:vAlign w:val="center"/>
          </w:tcPr>
          <w:p w14:paraId="300E4F4C"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LTOD</w:t>
            </w:r>
          </w:p>
        </w:tc>
        <w:tc>
          <w:tcPr>
            <w:tcW w:w="990" w:type="dxa"/>
            <w:tcBorders>
              <w:top w:val="single" w:sz="4" w:space="0" w:color="auto"/>
              <w:left w:val="nil"/>
              <w:bottom w:val="single" w:sz="4" w:space="0" w:color="auto"/>
              <w:right w:val="single" w:sz="4" w:space="0" w:color="auto"/>
            </w:tcBorders>
          </w:tcPr>
          <w:p w14:paraId="15B55ED8"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LTOA</w:t>
            </w:r>
          </w:p>
        </w:tc>
      </w:tr>
      <w:tr w:rsidR="006E3563" w:rsidRPr="00061566" w14:paraId="51A0B187" w14:textId="77777777" w:rsidTr="006E3563">
        <w:trPr>
          <w:trHeight w:val="143"/>
        </w:trPr>
        <w:tc>
          <w:tcPr>
            <w:tcW w:w="990" w:type="dxa"/>
            <w:tcBorders>
              <w:top w:val="nil"/>
              <w:left w:val="single" w:sz="4" w:space="0" w:color="auto"/>
              <w:bottom w:val="single" w:sz="4" w:space="0" w:color="auto"/>
              <w:right w:val="single" w:sz="4" w:space="0" w:color="auto"/>
            </w:tcBorders>
            <w:shd w:val="clear" w:color="auto" w:fill="auto"/>
          </w:tcPr>
          <w:p w14:paraId="3F41EC52"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hAnsi="Times New Roman" w:cs="Times New Roman"/>
                <w:sz w:val="24"/>
                <w:szCs w:val="24"/>
              </w:rPr>
              <w:t>ROA</w:t>
            </w:r>
          </w:p>
        </w:tc>
        <w:tc>
          <w:tcPr>
            <w:tcW w:w="1350" w:type="dxa"/>
            <w:tcBorders>
              <w:top w:val="nil"/>
              <w:left w:val="nil"/>
              <w:bottom w:val="single" w:sz="4" w:space="0" w:color="auto"/>
              <w:right w:val="single" w:sz="4" w:space="0" w:color="auto"/>
            </w:tcBorders>
            <w:shd w:val="clear" w:color="auto" w:fill="auto"/>
            <w:vAlign w:val="center"/>
          </w:tcPr>
          <w:p w14:paraId="5F13CA46"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1</w:t>
            </w:r>
          </w:p>
        </w:tc>
        <w:tc>
          <w:tcPr>
            <w:tcW w:w="1170" w:type="dxa"/>
            <w:tcBorders>
              <w:top w:val="nil"/>
              <w:left w:val="nil"/>
              <w:bottom w:val="single" w:sz="4" w:space="0" w:color="auto"/>
              <w:right w:val="single" w:sz="4" w:space="0" w:color="auto"/>
            </w:tcBorders>
            <w:shd w:val="clear" w:color="auto" w:fill="auto"/>
            <w:vAlign w:val="center"/>
          </w:tcPr>
          <w:p w14:paraId="1543BA05"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c>
          <w:tcPr>
            <w:tcW w:w="1260" w:type="dxa"/>
            <w:tcBorders>
              <w:top w:val="nil"/>
              <w:left w:val="nil"/>
              <w:bottom w:val="single" w:sz="4" w:space="0" w:color="auto"/>
              <w:right w:val="single" w:sz="4" w:space="0" w:color="auto"/>
            </w:tcBorders>
            <w:shd w:val="clear" w:color="auto" w:fill="auto"/>
            <w:vAlign w:val="center"/>
          </w:tcPr>
          <w:p w14:paraId="62441C71"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c>
          <w:tcPr>
            <w:tcW w:w="1170" w:type="dxa"/>
            <w:tcBorders>
              <w:top w:val="nil"/>
              <w:left w:val="nil"/>
              <w:bottom w:val="single" w:sz="4" w:space="0" w:color="auto"/>
              <w:right w:val="single" w:sz="4" w:space="0" w:color="auto"/>
            </w:tcBorders>
          </w:tcPr>
          <w:p w14:paraId="6A0417F4"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c>
          <w:tcPr>
            <w:tcW w:w="990" w:type="dxa"/>
            <w:tcBorders>
              <w:top w:val="nil"/>
              <w:left w:val="nil"/>
              <w:bottom w:val="single" w:sz="4" w:space="0" w:color="auto"/>
              <w:right w:val="single" w:sz="4" w:space="0" w:color="auto"/>
            </w:tcBorders>
          </w:tcPr>
          <w:p w14:paraId="0F01C2F4"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r>
      <w:tr w:rsidR="006E3563" w:rsidRPr="00061566" w14:paraId="68A9A0D2" w14:textId="77777777" w:rsidTr="006E3563">
        <w:trPr>
          <w:trHeight w:val="230"/>
        </w:trPr>
        <w:tc>
          <w:tcPr>
            <w:tcW w:w="990" w:type="dxa"/>
            <w:tcBorders>
              <w:top w:val="nil"/>
              <w:left w:val="single" w:sz="4" w:space="0" w:color="auto"/>
              <w:bottom w:val="single" w:sz="4" w:space="0" w:color="auto"/>
              <w:right w:val="single" w:sz="4" w:space="0" w:color="auto"/>
            </w:tcBorders>
            <w:shd w:val="clear" w:color="auto" w:fill="auto"/>
          </w:tcPr>
          <w:p w14:paraId="1CC76C4D"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hAnsi="Times New Roman" w:cs="Times New Roman"/>
                <w:sz w:val="24"/>
                <w:szCs w:val="24"/>
              </w:rPr>
              <w:t>ROE</w:t>
            </w:r>
          </w:p>
        </w:tc>
        <w:tc>
          <w:tcPr>
            <w:tcW w:w="1350" w:type="dxa"/>
            <w:tcBorders>
              <w:top w:val="nil"/>
              <w:left w:val="single" w:sz="4" w:space="0" w:color="auto"/>
              <w:bottom w:val="single" w:sz="4" w:space="0" w:color="auto"/>
              <w:right w:val="single" w:sz="4" w:space="0" w:color="auto"/>
            </w:tcBorders>
            <w:shd w:val="clear" w:color="auto" w:fill="auto"/>
          </w:tcPr>
          <w:p w14:paraId="29927ACC"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0.397</w:t>
            </w:r>
          </w:p>
        </w:tc>
        <w:tc>
          <w:tcPr>
            <w:tcW w:w="1170" w:type="dxa"/>
            <w:tcBorders>
              <w:top w:val="nil"/>
              <w:left w:val="nil"/>
              <w:bottom w:val="single" w:sz="4" w:space="0" w:color="auto"/>
              <w:right w:val="single" w:sz="4" w:space="0" w:color="auto"/>
            </w:tcBorders>
            <w:shd w:val="clear" w:color="auto" w:fill="auto"/>
          </w:tcPr>
          <w:p w14:paraId="737DC01E"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1</w:t>
            </w:r>
          </w:p>
        </w:tc>
        <w:tc>
          <w:tcPr>
            <w:tcW w:w="1260" w:type="dxa"/>
            <w:tcBorders>
              <w:top w:val="nil"/>
              <w:left w:val="nil"/>
              <w:bottom w:val="single" w:sz="4" w:space="0" w:color="auto"/>
              <w:right w:val="single" w:sz="4" w:space="0" w:color="auto"/>
            </w:tcBorders>
            <w:shd w:val="clear" w:color="auto" w:fill="auto"/>
            <w:vAlign w:val="center"/>
          </w:tcPr>
          <w:p w14:paraId="3A404133"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c>
          <w:tcPr>
            <w:tcW w:w="1170" w:type="dxa"/>
            <w:tcBorders>
              <w:top w:val="nil"/>
              <w:left w:val="nil"/>
              <w:bottom w:val="single" w:sz="4" w:space="0" w:color="auto"/>
              <w:right w:val="single" w:sz="4" w:space="0" w:color="auto"/>
            </w:tcBorders>
          </w:tcPr>
          <w:p w14:paraId="4E121692"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c>
          <w:tcPr>
            <w:tcW w:w="990" w:type="dxa"/>
            <w:tcBorders>
              <w:top w:val="nil"/>
              <w:left w:val="nil"/>
              <w:bottom w:val="single" w:sz="4" w:space="0" w:color="auto"/>
              <w:right w:val="single" w:sz="4" w:space="0" w:color="auto"/>
            </w:tcBorders>
          </w:tcPr>
          <w:p w14:paraId="254F2776"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r>
      <w:tr w:rsidR="006E3563" w:rsidRPr="00061566" w14:paraId="0CD84441" w14:textId="77777777" w:rsidTr="006E3563">
        <w:trPr>
          <w:trHeight w:val="301"/>
        </w:trPr>
        <w:tc>
          <w:tcPr>
            <w:tcW w:w="990" w:type="dxa"/>
            <w:tcBorders>
              <w:top w:val="single" w:sz="4" w:space="0" w:color="auto"/>
              <w:left w:val="single" w:sz="4" w:space="0" w:color="auto"/>
              <w:bottom w:val="single" w:sz="4" w:space="0" w:color="auto"/>
              <w:right w:val="single" w:sz="4" w:space="0" w:color="auto"/>
            </w:tcBorders>
            <w:shd w:val="clear" w:color="auto" w:fill="auto"/>
          </w:tcPr>
          <w:p w14:paraId="4E8B9904"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hAnsi="Times New Roman" w:cs="Times New Roman"/>
                <w:sz w:val="24"/>
                <w:szCs w:val="24"/>
              </w:rPr>
              <w:t>LEQU</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C7A0A8A"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0.244</w:t>
            </w:r>
          </w:p>
        </w:tc>
        <w:tc>
          <w:tcPr>
            <w:tcW w:w="1170" w:type="dxa"/>
            <w:tcBorders>
              <w:top w:val="single" w:sz="4" w:space="0" w:color="auto"/>
              <w:left w:val="nil"/>
              <w:bottom w:val="single" w:sz="4" w:space="0" w:color="auto"/>
              <w:right w:val="single" w:sz="4" w:space="0" w:color="auto"/>
            </w:tcBorders>
            <w:shd w:val="clear" w:color="auto" w:fill="auto"/>
          </w:tcPr>
          <w:p w14:paraId="50F3330A"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-0.258</w:t>
            </w:r>
          </w:p>
        </w:tc>
        <w:tc>
          <w:tcPr>
            <w:tcW w:w="1260" w:type="dxa"/>
            <w:tcBorders>
              <w:top w:val="single" w:sz="4" w:space="0" w:color="auto"/>
              <w:left w:val="nil"/>
              <w:bottom w:val="single" w:sz="4" w:space="0" w:color="auto"/>
              <w:right w:val="single" w:sz="4" w:space="0" w:color="auto"/>
            </w:tcBorders>
            <w:shd w:val="clear" w:color="auto" w:fill="auto"/>
            <w:vAlign w:val="center"/>
          </w:tcPr>
          <w:p w14:paraId="1CF9D77C"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1</w:t>
            </w:r>
          </w:p>
        </w:tc>
        <w:tc>
          <w:tcPr>
            <w:tcW w:w="1170" w:type="dxa"/>
            <w:tcBorders>
              <w:top w:val="single" w:sz="4" w:space="0" w:color="auto"/>
              <w:left w:val="nil"/>
              <w:bottom w:val="single" w:sz="4" w:space="0" w:color="auto"/>
              <w:right w:val="single" w:sz="4" w:space="0" w:color="auto"/>
            </w:tcBorders>
          </w:tcPr>
          <w:p w14:paraId="37CC6326"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c>
          <w:tcPr>
            <w:tcW w:w="990" w:type="dxa"/>
            <w:tcBorders>
              <w:top w:val="single" w:sz="4" w:space="0" w:color="auto"/>
              <w:left w:val="nil"/>
              <w:bottom w:val="single" w:sz="4" w:space="0" w:color="auto"/>
              <w:right w:val="single" w:sz="4" w:space="0" w:color="auto"/>
            </w:tcBorders>
          </w:tcPr>
          <w:p w14:paraId="59E04C34"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r>
      <w:tr w:rsidR="006E3563" w:rsidRPr="00061566" w14:paraId="66C88254" w14:textId="77777777" w:rsidTr="006E3563">
        <w:trPr>
          <w:trHeight w:val="172"/>
        </w:trPr>
        <w:tc>
          <w:tcPr>
            <w:tcW w:w="990" w:type="dxa"/>
            <w:tcBorders>
              <w:top w:val="nil"/>
              <w:left w:val="single" w:sz="4" w:space="0" w:color="auto"/>
              <w:bottom w:val="single" w:sz="4" w:space="0" w:color="auto"/>
              <w:right w:val="single" w:sz="4" w:space="0" w:color="auto"/>
            </w:tcBorders>
            <w:shd w:val="clear" w:color="auto" w:fill="auto"/>
          </w:tcPr>
          <w:p w14:paraId="5FBF3187"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hAnsi="Times New Roman" w:cs="Times New Roman"/>
                <w:sz w:val="24"/>
                <w:szCs w:val="24"/>
              </w:rPr>
              <w:t>LTOD</w:t>
            </w:r>
          </w:p>
        </w:tc>
        <w:tc>
          <w:tcPr>
            <w:tcW w:w="1350" w:type="dxa"/>
            <w:tcBorders>
              <w:top w:val="nil"/>
              <w:left w:val="nil"/>
              <w:bottom w:val="single" w:sz="4" w:space="0" w:color="auto"/>
              <w:right w:val="single" w:sz="4" w:space="0" w:color="auto"/>
            </w:tcBorders>
            <w:shd w:val="clear" w:color="auto" w:fill="auto"/>
          </w:tcPr>
          <w:p w14:paraId="44DBDF8F"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0.34</w:t>
            </w:r>
          </w:p>
        </w:tc>
        <w:tc>
          <w:tcPr>
            <w:tcW w:w="1170" w:type="dxa"/>
            <w:tcBorders>
              <w:top w:val="nil"/>
              <w:left w:val="nil"/>
              <w:bottom w:val="single" w:sz="4" w:space="0" w:color="auto"/>
              <w:right w:val="single" w:sz="4" w:space="0" w:color="auto"/>
            </w:tcBorders>
            <w:shd w:val="clear" w:color="auto" w:fill="auto"/>
          </w:tcPr>
          <w:p w14:paraId="421C50C8"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0.351</w:t>
            </w:r>
          </w:p>
        </w:tc>
        <w:tc>
          <w:tcPr>
            <w:tcW w:w="1260" w:type="dxa"/>
            <w:tcBorders>
              <w:top w:val="nil"/>
              <w:left w:val="nil"/>
              <w:bottom w:val="single" w:sz="4" w:space="0" w:color="auto"/>
              <w:right w:val="single" w:sz="4" w:space="0" w:color="auto"/>
            </w:tcBorders>
            <w:shd w:val="clear" w:color="auto" w:fill="auto"/>
            <w:vAlign w:val="center"/>
          </w:tcPr>
          <w:p w14:paraId="5353EEB5"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0.327</w:t>
            </w:r>
          </w:p>
        </w:tc>
        <w:tc>
          <w:tcPr>
            <w:tcW w:w="1170" w:type="dxa"/>
            <w:tcBorders>
              <w:top w:val="nil"/>
              <w:left w:val="nil"/>
              <w:bottom w:val="single" w:sz="4" w:space="0" w:color="auto"/>
              <w:right w:val="single" w:sz="4" w:space="0" w:color="auto"/>
            </w:tcBorders>
          </w:tcPr>
          <w:p w14:paraId="55F97EBA"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tcPr>
          <w:p w14:paraId="17BA7288"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r>
      <w:tr w:rsidR="006E3563" w:rsidRPr="00061566" w14:paraId="5ADBBCB5" w14:textId="77777777" w:rsidTr="006E3563">
        <w:trPr>
          <w:trHeight w:val="172"/>
        </w:trPr>
        <w:tc>
          <w:tcPr>
            <w:tcW w:w="990" w:type="dxa"/>
            <w:tcBorders>
              <w:top w:val="nil"/>
              <w:left w:val="single" w:sz="4" w:space="0" w:color="auto"/>
              <w:bottom w:val="single" w:sz="4" w:space="0" w:color="auto"/>
              <w:right w:val="single" w:sz="4" w:space="0" w:color="auto"/>
            </w:tcBorders>
            <w:shd w:val="clear" w:color="auto" w:fill="auto"/>
          </w:tcPr>
          <w:p w14:paraId="353CAFD3" w14:textId="411B3A0A" w:rsidR="006E3563" w:rsidRPr="00061566" w:rsidRDefault="006E3563" w:rsidP="00B614C8">
            <w:pPr>
              <w:spacing w:after="0" w:line="480" w:lineRule="auto"/>
              <w:jc w:val="both"/>
              <w:rPr>
                <w:rFonts w:ascii="Times New Roman" w:eastAsia="Times New Roman" w:hAnsi="Times New Roman" w:cs="Times New Roman"/>
                <w:sz w:val="24"/>
                <w:szCs w:val="24"/>
              </w:rPr>
            </w:pPr>
          </w:p>
        </w:tc>
        <w:tc>
          <w:tcPr>
            <w:tcW w:w="1350" w:type="dxa"/>
            <w:tcBorders>
              <w:top w:val="nil"/>
              <w:left w:val="nil"/>
              <w:bottom w:val="single" w:sz="4" w:space="0" w:color="auto"/>
              <w:right w:val="single" w:sz="4" w:space="0" w:color="auto"/>
            </w:tcBorders>
            <w:shd w:val="clear" w:color="auto" w:fill="auto"/>
          </w:tcPr>
          <w:p w14:paraId="74320D49"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0.276</w:t>
            </w:r>
          </w:p>
        </w:tc>
        <w:tc>
          <w:tcPr>
            <w:tcW w:w="1170" w:type="dxa"/>
            <w:tcBorders>
              <w:top w:val="nil"/>
              <w:left w:val="nil"/>
              <w:bottom w:val="single" w:sz="4" w:space="0" w:color="auto"/>
              <w:right w:val="single" w:sz="4" w:space="0" w:color="auto"/>
            </w:tcBorders>
            <w:shd w:val="clear" w:color="auto" w:fill="auto"/>
          </w:tcPr>
          <w:p w14:paraId="3F34AF58"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0.492</w:t>
            </w:r>
          </w:p>
        </w:tc>
        <w:tc>
          <w:tcPr>
            <w:tcW w:w="1260" w:type="dxa"/>
            <w:tcBorders>
              <w:top w:val="nil"/>
              <w:left w:val="nil"/>
              <w:bottom w:val="single" w:sz="4" w:space="0" w:color="auto"/>
              <w:right w:val="single" w:sz="4" w:space="0" w:color="auto"/>
            </w:tcBorders>
            <w:shd w:val="clear" w:color="auto" w:fill="auto"/>
            <w:vAlign w:val="center"/>
          </w:tcPr>
          <w:p w14:paraId="63378654"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0.22</w:t>
            </w:r>
          </w:p>
        </w:tc>
        <w:tc>
          <w:tcPr>
            <w:tcW w:w="1170" w:type="dxa"/>
            <w:tcBorders>
              <w:top w:val="nil"/>
              <w:left w:val="nil"/>
              <w:bottom w:val="single" w:sz="4" w:space="0" w:color="auto"/>
              <w:right w:val="single" w:sz="4" w:space="0" w:color="auto"/>
            </w:tcBorders>
          </w:tcPr>
          <w:p w14:paraId="642929AB"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0.09</w:t>
            </w:r>
          </w:p>
        </w:tc>
        <w:tc>
          <w:tcPr>
            <w:tcW w:w="990" w:type="dxa"/>
            <w:tcBorders>
              <w:top w:val="nil"/>
              <w:left w:val="nil"/>
              <w:bottom w:val="single" w:sz="4" w:space="0" w:color="auto"/>
              <w:right w:val="single" w:sz="4" w:space="0" w:color="auto"/>
            </w:tcBorders>
          </w:tcPr>
          <w:p w14:paraId="25B639FF"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r>
      <w:tr w:rsidR="006E3563" w:rsidRPr="00061566" w14:paraId="66F7BD9F" w14:textId="77777777" w:rsidTr="006E3563">
        <w:trPr>
          <w:trHeight w:val="172"/>
        </w:trPr>
        <w:tc>
          <w:tcPr>
            <w:tcW w:w="990" w:type="dxa"/>
            <w:tcBorders>
              <w:top w:val="nil"/>
              <w:left w:val="single" w:sz="4" w:space="0" w:color="auto"/>
              <w:bottom w:val="single" w:sz="4" w:space="0" w:color="auto"/>
              <w:right w:val="single" w:sz="4" w:space="0" w:color="auto"/>
            </w:tcBorders>
            <w:shd w:val="clear" w:color="auto" w:fill="auto"/>
          </w:tcPr>
          <w:p w14:paraId="3AE35A20" w14:textId="172FCAB8" w:rsidR="006E3563" w:rsidRPr="00061566" w:rsidRDefault="006E3563" w:rsidP="00B614C8">
            <w:pPr>
              <w:spacing w:after="0" w:line="480" w:lineRule="auto"/>
              <w:jc w:val="both"/>
              <w:rPr>
                <w:rFonts w:ascii="Times New Roman" w:eastAsia="Times New Roman" w:hAnsi="Times New Roman" w:cs="Times New Roman"/>
                <w:sz w:val="24"/>
                <w:szCs w:val="24"/>
              </w:rPr>
            </w:pPr>
          </w:p>
        </w:tc>
        <w:tc>
          <w:tcPr>
            <w:tcW w:w="1350" w:type="dxa"/>
            <w:tcBorders>
              <w:top w:val="nil"/>
              <w:left w:val="nil"/>
              <w:bottom w:val="single" w:sz="4" w:space="0" w:color="auto"/>
              <w:right w:val="single" w:sz="4" w:space="0" w:color="auto"/>
            </w:tcBorders>
            <w:shd w:val="clear" w:color="auto" w:fill="auto"/>
          </w:tcPr>
          <w:p w14:paraId="3F054675"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0.335</w:t>
            </w:r>
          </w:p>
        </w:tc>
        <w:tc>
          <w:tcPr>
            <w:tcW w:w="1170" w:type="dxa"/>
            <w:tcBorders>
              <w:top w:val="nil"/>
              <w:left w:val="nil"/>
              <w:bottom w:val="single" w:sz="4" w:space="0" w:color="auto"/>
              <w:right w:val="single" w:sz="4" w:space="0" w:color="auto"/>
            </w:tcBorders>
            <w:shd w:val="clear" w:color="auto" w:fill="auto"/>
          </w:tcPr>
          <w:p w14:paraId="486CBF42"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-0.113</w:t>
            </w:r>
          </w:p>
        </w:tc>
        <w:tc>
          <w:tcPr>
            <w:tcW w:w="1260" w:type="dxa"/>
            <w:tcBorders>
              <w:top w:val="nil"/>
              <w:left w:val="nil"/>
              <w:bottom w:val="single" w:sz="4" w:space="0" w:color="auto"/>
              <w:right w:val="single" w:sz="4" w:space="0" w:color="auto"/>
            </w:tcBorders>
            <w:shd w:val="clear" w:color="auto" w:fill="auto"/>
            <w:vAlign w:val="center"/>
          </w:tcPr>
          <w:p w14:paraId="0EF22F21"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0.369</w:t>
            </w:r>
          </w:p>
        </w:tc>
        <w:tc>
          <w:tcPr>
            <w:tcW w:w="1170" w:type="dxa"/>
            <w:tcBorders>
              <w:top w:val="nil"/>
              <w:left w:val="nil"/>
              <w:bottom w:val="single" w:sz="4" w:space="0" w:color="auto"/>
              <w:right w:val="single" w:sz="4" w:space="0" w:color="auto"/>
            </w:tcBorders>
          </w:tcPr>
          <w:p w14:paraId="7C06CAE5"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0.326</w:t>
            </w:r>
          </w:p>
        </w:tc>
        <w:tc>
          <w:tcPr>
            <w:tcW w:w="990" w:type="dxa"/>
            <w:tcBorders>
              <w:top w:val="nil"/>
              <w:left w:val="nil"/>
              <w:bottom w:val="single" w:sz="4" w:space="0" w:color="auto"/>
              <w:right w:val="single" w:sz="4" w:space="0" w:color="auto"/>
            </w:tcBorders>
          </w:tcPr>
          <w:p w14:paraId="4BD5DFCE"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p>
        </w:tc>
      </w:tr>
      <w:tr w:rsidR="006E3563" w:rsidRPr="00061566" w14:paraId="764BDE66" w14:textId="77777777" w:rsidTr="006E3563">
        <w:trPr>
          <w:trHeight w:val="172"/>
        </w:trPr>
        <w:tc>
          <w:tcPr>
            <w:tcW w:w="990" w:type="dxa"/>
            <w:tcBorders>
              <w:top w:val="nil"/>
              <w:left w:val="single" w:sz="4" w:space="0" w:color="auto"/>
              <w:bottom w:val="single" w:sz="4" w:space="0" w:color="auto"/>
              <w:right w:val="single" w:sz="4" w:space="0" w:color="auto"/>
            </w:tcBorders>
            <w:shd w:val="clear" w:color="auto" w:fill="auto"/>
          </w:tcPr>
          <w:p w14:paraId="49326A28"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hAnsi="Times New Roman" w:cs="Times New Roman"/>
                <w:sz w:val="24"/>
                <w:szCs w:val="24"/>
              </w:rPr>
              <w:t>LTOA</w:t>
            </w:r>
          </w:p>
        </w:tc>
        <w:tc>
          <w:tcPr>
            <w:tcW w:w="1350" w:type="dxa"/>
            <w:tcBorders>
              <w:top w:val="nil"/>
              <w:left w:val="nil"/>
              <w:bottom w:val="single" w:sz="4" w:space="0" w:color="auto"/>
              <w:right w:val="single" w:sz="4" w:space="0" w:color="auto"/>
            </w:tcBorders>
            <w:shd w:val="clear" w:color="auto" w:fill="auto"/>
          </w:tcPr>
          <w:p w14:paraId="2E1F61DD"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0.552</w:t>
            </w:r>
          </w:p>
        </w:tc>
        <w:tc>
          <w:tcPr>
            <w:tcW w:w="1170" w:type="dxa"/>
            <w:tcBorders>
              <w:top w:val="nil"/>
              <w:left w:val="nil"/>
              <w:bottom w:val="single" w:sz="4" w:space="0" w:color="auto"/>
              <w:right w:val="single" w:sz="4" w:space="0" w:color="auto"/>
            </w:tcBorders>
            <w:shd w:val="clear" w:color="auto" w:fill="auto"/>
          </w:tcPr>
          <w:p w14:paraId="04FA3341"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0.148</w:t>
            </w:r>
          </w:p>
        </w:tc>
        <w:tc>
          <w:tcPr>
            <w:tcW w:w="1260" w:type="dxa"/>
            <w:tcBorders>
              <w:top w:val="nil"/>
              <w:left w:val="nil"/>
              <w:bottom w:val="single" w:sz="4" w:space="0" w:color="auto"/>
              <w:right w:val="single" w:sz="4" w:space="0" w:color="auto"/>
            </w:tcBorders>
            <w:shd w:val="clear" w:color="auto" w:fill="auto"/>
            <w:vAlign w:val="center"/>
          </w:tcPr>
          <w:p w14:paraId="0D8D0189"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0.263</w:t>
            </w:r>
          </w:p>
        </w:tc>
        <w:tc>
          <w:tcPr>
            <w:tcW w:w="1170" w:type="dxa"/>
            <w:tcBorders>
              <w:top w:val="nil"/>
              <w:left w:val="nil"/>
              <w:bottom w:val="single" w:sz="4" w:space="0" w:color="auto"/>
              <w:right w:val="single" w:sz="4" w:space="0" w:color="auto"/>
            </w:tcBorders>
          </w:tcPr>
          <w:p w14:paraId="75808BBB"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0.189</w:t>
            </w:r>
          </w:p>
        </w:tc>
        <w:tc>
          <w:tcPr>
            <w:tcW w:w="990" w:type="dxa"/>
            <w:tcBorders>
              <w:top w:val="nil"/>
              <w:left w:val="nil"/>
              <w:bottom w:val="single" w:sz="4" w:space="0" w:color="auto"/>
              <w:right w:val="single" w:sz="4" w:space="0" w:color="auto"/>
            </w:tcBorders>
          </w:tcPr>
          <w:p w14:paraId="61C8FAD6" w14:textId="77777777" w:rsidR="006E3563" w:rsidRPr="00061566" w:rsidRDefault="006E3563" w:rsidP="00B614C8">
            <w:pPr>
              <w:spacing w:after="0" w:line="480" w:lineRule="auto"/>
              <w:jc w:val="both"/>
              <w:rPr>
                <w:rFonts w:ascii="Times New Roman" w:eastAsia="Times New Roman" w:hAnsi="Times New Roman" w:cs="Times New Roman"/>
                <w:sz w:val="24"/>
                <w:szCs w:val="24"/>
              </w:rPr>
            </w:pPr>
            <w:r w:rsidRPr="00061566">
              <w:rPr>
                <w:rFonts w:ascii="Times New Roman" w:eastAsia="Times New Roman" w:hAnsi="Times New Roman" w:cs="Times New Roman"/>
                <w:sz w:val="24"/>
                <w:szCs w:val="24"/>
              </w:rPr>
              <w:t>1</w:t>
            </w:r>
          </w:p>
        </w:tc>
      </w:tr>
    </w:tbl>
    <w:p w14:paraId="4B285EC9" w14:textId="77777777" w:rsidR="00F00DF6" w:rsidRPr="00F00DF6" w:rsidRDefault="00F00DF6" w:rsidP="00F00DF6">
      <w:pPr>
        <w:spacing w:after="115"/>
        <w:ind w:left="435" w:hanging="10"/>
        <w:jc w:val="both"/>
        <w:rPr>
          <w:rFonts w:ascii="Times New Roman" w:eastAsia="Times New Roman" w:hAnsi="Times New Roman" w:cs="Times New Roman"/>
          <w:sz w:val="24"/>
          <w:szCs w:val="24"/>
        </w:rPr>
      </w:pPr>
      <w:r w:rsidRPr="00F00DF6">
        <w:rPr>
          <w:rFonts w:ascii="Times New Roman" w:eastAsia="Times New Roman" w:hAnsi="Times New Roman" w:cs="Times New Roman"/>
          <w:i/>
          <w:sz w:val="24"/>
          <w:szCs w:val="24"/>
        </w:rPr>
        <w:t>Source:</w:t>
      </w:r>
      <w:r w:rsidRPr="00F00DF6">
        <w:rPr>
          <w:rFonts w:ascii="Times New Roman" w:eastAsia="Times New Roman" w:hAnsi="Times New Roman" w:cs="Times New Roman"/>
          <w:sz w:val="24"/>
          <w:szCs w:val="24"/>
        </w:rPr>
        <w:t xml:space="preserve"> Audited annual reports for the various years. </w:t>
      </w:r>
    </w:p>
    <w:p w14:paraId="579FD628" w14:textId="3BFE2DBF" w:rsidR="002847A9" w:rsidRPr="00061566" w:rsidRDefault="00F00DF6" w:rsidP="00F00DF6">
      <w:pPr>
        <w:keepNext/>
        <w:keepLines/>
        <w:spacing w:after="313"/>
        <w:ind w:left="445" w:hanging="10"/>
        <w:outlineLvl w:val="0"/>
        <w:rPr>
          <w:rFonts w:ascii="Times New Roman" w:eastAsia="Times New Roman" w:hAnsi="Times New Roman" w:cs="Times New Roman"/>
          <w:i/>
          <w:sz w:val="24"/>
          <w:szCs w:val="24"/>
        </w:rPr>
      </w:pPr>
      <w:r w:rsidRPr="00F00DF6">
        <w:rPr>
          <w:rFonts w:ascii="Times New Roman" w:eastAsia="Times New Roman" w:hAnsi="Times New Roman" w:cs="Times New Roman"/>
          <w:i/>
          <w:sz w:val="24"/>
          <w:szCs w:val="24"/>
        </w:rPr>
        <w:t xml:space="preserve">Table 2: Pearson Correlation Matrix among the Variables </w:t>
      </w:r>
    </w:p>
    <w:p w14:paraId="65AEC716" w14:textId="77777777" w:rsidR="00D03BF1" w:rsidRPr="00D03BF1" w:rsidRDefault="00D03BF1" w:rsidP="00D03BF1">
      <w:pPr>
        <w:spacing w:after="0" w:line="276" w:lineRule="auto"/>
        <w:jc w:val="both"/>
        <w:rPr>
          <w:rFonts w:ascii="Times New Roman" w:hAnsi="Times New Roman" w:cs="Times New Roman"/>
          <w:sz w:val="24"/>
          <w:szCs w:val="24"/>
        </w:rPr>
      </w:pPr>
      <w:bookmarkStart w:id="2" w:name="_Hlk73330296"/>
      <w:r w:rsidRPr="00D03BF1">
        <w:rPr>
          <w:rFonts w:ascii="Times New Roman" w:hAnsi="Times New Roman" w:cs="Times New Roman"/>
          <w:sz w:val="24"/>
          <w:szCs w:val="24"/>
        </w:rPr>
        <w:t>In the next table, Table 4.2, you'll find the Pearson correlation matrix. Return on assets, which is usually referred to by its acronym ROA, and return on equity are the factors that are being evaluated (ROE). Equity (LEQU), total debt (LTOD), long term debt (), short term debt (), and total asset (LTOA) are the variables that are independent for a selection of manufacturing businesses in Nigeria. Using the 160 firm-year data collected from 10 distinct manufacturing businesses in Nigeria, we were able to arrive at each and every one of these values. Stata 14, which was used to assist in making the process of estimating easier,</w:t>
      </w:r>
    </w:p>
    <w:p w14:paraId="7D188CED" w14:textId="77777777" w:rsidR="00D03BF1" w:rsidRPr="00D03BF1" w:rsidRDefault="00D03BF1" w:rsidP="00D03BF1">
      <w:pPr>
        <w:spacing w:after="0" w:line="276" w:lineRule="auto"/>
        <w:jc w:val="both"/>
        <w:rPr>
          <w:rFonts w:ascii="Times New Roman" w:hAnsi="Times New Roman" w:cs="Times New Roman"/>
          <w:sz w:val="24"/>
          <w:szCs w:val="24"/>
        </w:rPr>
      </w:pPr>
      <w:r w:rsidRPr="00D03BF1">
        <w:rPr>
          <w:rFonts w:ascii="Times New Roman" w:hAnsi="Times New Roman" w:cs="Times New Roman"/>
          <w:sz w:val="24"/>
          <w:szCs w:val="24"/>
        </w:rPr>
        <w:t xml:space="preserve">According to the results of the research, which are summed up in table 4.2, there is a positive connection between ROA, ROE, LEQU, LTOD, and LTOA. In addition, there is a link between ROA and LTOA. The correlation coefficient for ROE is 0.397, while the correlation coefficients for LEQU are 0.244, LTOD are 0.34, and's is 0.276. LTOA's correlation value is 0.335. LTOA comes in at number one with a value of 0.552. Based on the data, it seemed that the various factors developed in the same direction across all of the organizations that were put through the tests during the course of the time period that was analyzed. However, a negative link was also found to exist between ROE and LEQU and, with the correlation coefficient for LEQU being -0.258 and the correlation coefficient for being -0.113. This finding supports the hypothesis that ROE is negatively correlated with LEQU and. On the other hand, a positive correlation was found to exist between ROE and </w:t>
      </w:r>
      <w:proofErr w:type="gramStart"/>
      <w:r w:rsidRPr="00D03BF1">
        <w:rPr>
          <w:rFonts w:ascii="Times New Roman" w:hAnsi="Times New Roman" w:cs="Times New Roman"/>
          <w:sz w:val="24"/>
          <w:szCs w:val="24"/>
        </w:rPr>
        <w:t>LTOD,,</w:t>
      </w:r>
      <w:proofErr w:type="gramEnd"/>
      <w:r w:rsidRPr="00D03BF1">
        <w:rPr>
          <w:rFonts w:ascii="Times New Roman" w:hAnsi="Times New Roman" w:cs="Times New Roman"/>
          <w:sz w:val="24"/>
          <w:szCs w:val="24"/>
        </w:rPr>
        <w:t xml:space="preserve"> and LTOA. The correlation coefficient for LTOD was 0.351, the correlation coefficient for was 0.492, and the correlation coefficient for LTOA was 0.148. These results suggest that ROE and these three time periods are positively related to one another.</w:t>
      </w:r>
    </w:p>
    <w:p w14:paraId="31E35C8E" w14:textId="77777777" w:rsidR="00D03BF1" w:rsidRPr="00D03BF1" w:rsidRDefault="00D03BF1" w:rsidP="00D03BF1">
      <w:pPr>
        <w:spacing w:after="0" w:line="276" w:lineRule="auto"/>
        <w:jc w:val="both"/>
        <w:rPr>
          <w:rFonts w:ascii="Times New Roman" w:hAnsi="Times New Roman" w:cs="Times New Roman"/>
          <w:sz w:val="24"/>
          <w:szCs w:val="24"/>
        </w:rPr>
      </w:pPr>
      <w:r w:rsidRPr="00D03BF1">
        <w:rPr>
          <w:rFonts w:ascii="Times New Roman" w:hAnsi="Times New Roman" w:cs="Times New Roman"/>
          <w:sz w:val="24"/>
          <w:szCs w:val="24"/>
        </w:rPr>
        <w:t>A positive correlation was found between LEQU and the other predictor variables, with values of 0.327 for LTOD, 0.22 for, 0.369 for, and 0.263 for LTOA accordingly. The findings also demonstrated that there is a relationship between LEQU and LTOA. It was shown that there was a positive correlation between the LTOD and the other predictor variables, with a value of 0.09 for, 0.326 for, and 0.189 for LTOA respectively. In addition, a positive correlation was discovered between and other predictor variables, with coefficient values of 0.243 for and 0.243 for LTOA. This finding was supported by the findings of the previous study. In the case of LTOA, this was likewise the situation. The value of 0.107 that was determined to be associated with shows that has a positive association with LTOA. To summarize, the results of this study demonstrated that there is a correlation between TOA and the other characteristics that serve as predictors.</w:t>
      </w:r>
    </w:p>
    <w:p w14:paraId="7A62822F" w14:textId="77777777" w:rsidR="00D03BF1" w:rsidRPr="00D03BF1" w:rsidRDefault="00D03BF1" w:rsidP="00D03BF1">
      <w:pPr>
        <w:spacing w:after="0" w:line="276" w:lineRule="auto"/>
        <w:jc w:val="both"/>
        <w:rPr>
          <w:rFonts w:ascii="Times New Roman" w:hAnsi="Times New Roman" w:cs="Times New Roman"/>
          <w:sz w:val="24"/>
          <w:szCs w:val="24"/>
        </w:rPr>
      </w:pPr>
      <w:r w:rsidRPr="00D03BF1">
        <w:rPr>
          <w:rFonts w:ascii="Times New Roman" w:hAnsi="Times New Roman" w:cs="Times New Roman"/>
          <w:sz w:val="24"/>
          <w:szCs w:val="24"/>
        </w:rPr>
        <w:t>The Repercussions that the Discoveries Will Have</w:t>
      </w:r>
    </w:p>
    <w:p w14:paraId="302933AB" w14:textId="77777777" w:rsidR="00D03BF1" w:rsidRPr="00D03BF1" w:rsidRDefault="00D03BF1" w:rsidP="00D03BF1">
      <w:pPr>
        <w:spacing w:after="0" w:line="276" w:lineRule="auto"/>
        <w:jc w:val="both"/>
        <w:rPr>
          <w:rFonts w:ascii="Times New Roman" w:hAnsi="Times New Roman" w:cs="Times New Roman"/>
          <w:sz w:val="24"/>
          <w:szCs w:val="24"/>
        </w:rPr>
      </w:pPr>
      <w:r w:rsidRPr="00D03BF1">
        <w:rPr>
          <w:rFonts w:ascii="Times New Roman" w:hAnsi="Times New Roman" w:cs="Times New Roman"/>
          <w:sz w:val="24"/>
          <w:szCs w:val="24"/>
        </w:rPr>
        <w:t>According to the findings of the research that was carried out, the capital structure of publicly traded manufacturing companies in Nigeria, which is represented by total debt, equity, long term debt, short term debt, and total asset, has a positive impact on the performance of those companies. This impact can be broken down as follows: As the following notes will demonstrate, the conclusions of the inquiry have significant ramifications for the management of manufacturing enterprises as well as other stakeholders.</w:t>
      </w:r>
    </w:p>
    <w:p w14:paraId="12C4C7AA" w14:textId="77777777" w:rsidR="00546D27" w:rsidRDefault="00D03BF1" w:rsidP="00D03BF1">
      <w:pPr>
        <w:spacing w:after="0" w:line="276" w:lineRule="auto"/>
        <w:jc w:val="both"/>
        <w:rPr>
          <w:rFonts w:ascii="Times New Roman" w:hAnsi="Times New Roman" w:cs="Times New Roman"/>
          <w:sz w:val="24"/>
          <w:szCs w:val="24"/>
        </w:rPr>
      </w:pPr>
      <w:r w:rsidRPr="00D03BF1">
        <w:rPr>
          <w:rFonts w:ascii="Times New Roman" w:hAnsi="Times New Roman" w:cs="Times New Roman"/>
          <w:sz w:val="24"/>
          <w:szCs w:val="24"/>
        </w:rPr>
        <w:t xml:space="preserve">• The results of this study indicated that there was a significant connection between increased equity and greater financial performance. This suggests that the management prefers increasing the company's equity rather than increasing the amount it borrows in order to boost the company's profitability: • </w:t>
      </w:r>
    </w:p>
    <w:p w14:paraId="6B926E56" w14:textId="31D6A6AB" w:rsidR="00D03BF1" w:rsidRDefault="00D03BF1" w:rsidP="00D03BF1">
      <w:pPr>
        <w:spacing w:after="0" w:line="276" w:lineRule="auto"/>
        <w:jc w:val="both"/>
        <w:rPr>
          <w:rFonts w:ascii="Times New Roman" w:hAnsi="Times New Roman" w:cs="Times New Roman"/>
          <w:sz w:val="24"/>
          <w:szCs w:val="24"/>
        </w:rPr>
      </w:pPr>
      <w:r w:rsidRPr="00D03BF1">
        <w:rPr>
          <w:rFonts w:ascii="Times New Roman" w:hAnsi="Times New Roman" w:cs="Times New Roman"/>
          <w:sz w:val="24"/>
          <w:szCs w:val="24"/>
        </w:rPr>
        <w:t>The results of the study indicate that a substantial contribution to the financial performance of a business may be attributed to the capital structure of the firm, which can be quantified in terms of the total debt, long-term debt, and total assets of the organization. This implies that the usage of a bigger quantity of long-term debt and total assets by manufacturing businesses in Nigeria leads to an increase in the earnings of their shareholders. This is the case since this information suggests that this is the case. In conclusion, the utilization of short-term debt has a tendency to augment the returns on investment of shareholders, although to a little degree. When it comes to the day-to-day administration of the company's operations, the management of manufacturing enterprises is strongly opposed to the use of short-term debt. The average interest rate on short-term loan is often much higher, which is one factor that contributes to the overall low profitability of enterprises.</w:t>
      </w:r>
    </w:p>
    <w:p w14:paraId="62DAF2D1" w14:textId="04A237B6" w:rsidR="00982BE9" w:rsidRDefault="00982BE9" w:rsidP="00D03BF1">
      <w:pPr>
        <w:spacing w:after="0" w:line="276" w:lineRule="auto"/>
        <w:jc w:val="both"/>
        <w:rPr>
          <w:rFonts w:ascii="Times New Roman" w:hAnsi="Times New Roman" w:cs="Times New Roman"/>
          <w:sz w:val="24"/>
          <w:szCs w:val="24"/>
        </w:rPr>
      </w:pPr>
    </w:p>
    <w:p w14:paraId="7D75A327" w14:textId="03CCF708" w:rsidR="00982BE9" w:rsidRPr="000A78F2" w:rsidRDefault="00982BE9" w:rsidP="00BF679E">
      <w:pPr>
        <w:pStyle w:val="NoSpacing"/>
        <w:spacing w:line="480" w:lineRule="auto"/>
        <w:jc w:val="both"/>
        <w:rPr>
          <w:rFonts w:ascii="Times New Roman" w:eastAsia="Times New Roman" w:hAnsi="Times New Roman"/>
          <w:b/>
          <w:bCs/>
          <w:i/>
          <w:sz w:val="24"/>
          <w:szCs w:val="24"/>
          <w:shd w:val="clear" w:color="auto" w:fill="FFFFFF"/>
          <w:lang w:eastAsia="en-GB"/>
        </w:rPr>
      </w:pPr>
      <w:r>
        <w:rPr>
          <w:rFonts w:ascii="Times New Roman" w:eastAsia="Times New Roman" w:hAnsi="Times New Roman"/>
          <w:b/>
          <w:sz w:val="24"/>
          <w:szCs w:val="24"/>
          <w:shd w:val="clear" w:color="auto" w:fill="FFFFFF"/>
          <w:lang w:eastAsia="en-GB"/>
        </w:rPr>
        <w:t>4.3 Summary of Finding</w:t>
      </w:r>
      <w:r w:rsidRPr="00763B3A">
        <w:rPr>
          <w:rFonts w:ascii="Times New Roman" w:eastAsia="Times New Roman" w:hAnsi="Times New Roman"/>
          <w:b/>
          <w:sz w:val="24"/>
          <w:szCs w:val="24"/>
          <w:shd w:val="clear" w:color="auto" w:fill="FFFFFF"/>
          <w:lang w:eastAsia="en-GB"/>
        </w:rPr>
        <w:t>s</w:t>
      </w:r>
    </w:p>
    <w:bookmarkEnd w:id="2"/>
    <w:p w14:paraId="28939F61" w14:textId="77777777" w:rsidR="00CE1F1F" w:rsidRPr="00CE1F1F" w:rsidRDefault="00CE1F1F" w:rsidP="00CE1F1F">
      <w:pPr>
        <w:jc w:val="both"/>
        <w:rPr>
          <w:rFonts w:ascii="Times New Roman" w:hAnsi="Times New Roman" w:cs="Times New Roman"/>
          <w:bCs/>
          <w:sz w:val="24"/>
          <w:szCs w:val="24"/>
        </w:rPr>
      </w:pPr>
      <w:r w:rsidRPr="00CE1F1F">
        <w:rPr>
          <w:rFonts w:ascii="Times New Roman" w:hAnsi="Times New Roman" w:cs="Times New Roman"/>
          <w:bCs/>
          <w:sz w:val="24"/>
          <w:szCs w:val="24"/>
        </w:rPr>
        <w:t xml:space="preserve">The primary findings that emerged from the research were as follows: </w:t>
      </w:r>
      <w:proofErr w:type="spellStart"/>
      <w:r w:rsidRPr="00CE1F1F">
        <w:rPr>
          <w:rFonts w:ascii="Times New Roman" w:hAnsi="Times New Roman" w:cs="Times New Roman"/>
          <w:bCs/>
          <w:sz w:val="24"/>
          <w:szCs w:val="24"/>
        </w:rPr>
        <w:t>i</w:t>
      </w:r>
      <w:proofErr w:type="spellEnd"/>
      <w:r w:rsidRPr="00CE1F1F">
        <w:rPr>
          <w:rFonts w:ascii="Times New Roman" w:hAnsi="Times New Roman" w:cs="Times New Roman"/>
          <w:bCs/>
          <w:sz w:val="24"/>
          <w:szCs w:val="24"/>
        </w:rPr>
        <w:t>. Return on asset and return on equity have a positive significant influence on the performance of manufacturing companies in Nigeria, with 6.341 (p=0.0000.05) and 0.268 (p=0.0000.05) respectively. This was determined based on the analysis that was carried out.</w:t>
      </w:r>
    </w:p>
    <w:p w14:paraId="7A7347CD" w14:textId="518C20E7" w:rsidR="00CE1F1F" w:rsidRPr="00CE1F1F" w:rsidRDefault="00CE1F1F" w:rsidP="00CE1F1F">
      <w:pPr>
        <w:jc w:val="both"/>
        <w:rPr>
          <w:rFonts w:ascii="Times New Roman" w:hAnsi="Times New Roman" w:cs="Times New Roman"/>
          <w:bCs/>
          <w:sz w:val="24"/>
          <w:szCs w:val="24"/>
        </w:rPr>
      </w:pPr>
      <w:r w:rsidRPr="00CE1F1F">
        <w:rPr>
          <w:rFonts w:ascii="Times New Roman" w:hAnsi="Times New Roman" w:cs="Times New Roman"/>
          <w:bCs/>
          <w:sz w:val="24"/>
          <w:szCs w:val="24"/>
        </w:rPr>
        <w:t>ii. Total debt has a significant positive effect on the profitability of manufacturing businesses in Nigeria, with returns on assets of 6.331 (p=0.0000.05) and returns on equity of 0.117 (p=0.0070.05), respectively.</w:t>
      </w:r>
    </w:p>
    <w:p w14:paraId="33968121" w14:textId="77777777" w:rsidR="00CE1F1F" w:rsidRPr="00CE1F1F" w:rsidRDefault="00CE1F1F" w:rsidP="00CE1F1F">
      <w:pPr>
        <w:jc w:val="both"/>
        <w:rPr>
          <w:rFonts w:ascii="Times New Roman" w:hAnsi="Times New Roman" w:cs="Times New Roman"/>
          <w:bCs/>
          <w:sz w:val="24"/>
          <w:szCs w:val="24"/>
        </w:rPr>
      </w:pPr>
      <w:r w:rsidRPr="00CE1F1F">
        <w:rPr>
          <w:rFonts w:ascii="Times New Roman" w:hAnsi="Times New Roman" w:cs="Times New Roman"/>
          <w:bCs/>
          <w:sz w:val="24"/>
          <w:szCs w:val="24"/>
        </w:rPr>
        <w:t>v. Total asset has a positive and significant impact on the performance of manufacturing enterprises in Nigeria when assessed by return on equity (p=0.0280.05), whereas it has a positive but insignificant effect on the performance of manufacturing firms when measured by return on asset (p=0.99&gt;0.05).</w:t>
      </w:r>
    </w:p>
    <w:p w14:paraId="10B7B8FB" w14:textId="41D6F61E" w:rsidR="00CE1F1F" w:rsidRPr="00CE1F1F" w:rsidRDefault="00CE1F1F" w:rsidP="00CE1F1F">
      <w:pPr>
        <w:jc w:val="both"/>
        <w:rPr>
          <w:rFonts w:ascii="Times New Roman" w:hAnsi="Times New Roman" w:cs="Times New Roman"/>
          <w:b/>
          <w:sz w:val="24"/>
          <w:szCs w:val="24"/>
        </w:rPr>
      </w:pPr>
      <w:r w:rsidRPr="00CE1F1F">
        <w:rPr>
          <w:rFonts w:ascii="Times New Roman" w:hAnsi="Times New Roman" w:cs="Times New Roman"/>
          <w:b/>
          <w:sz w:val="24"/>
          <w:szCs w:val="24"/>
        </w:rPr>
        <w:t>Implication of the Findings</w:t>
      </w:r>
    </w:p>
    <w:p w14:paraId="7E0BBC95" w14:textId="6EACAC52" w:rsidR="00CE1F1F" w:rsidRPr="00CE1F1F" w:rsidRDefault="00CE1F1F" w:rsidP="00CE1F1F">
      <w:pPr>
        <w:pStyle w:val="ListParagraph"/>
        <w:numPr>
          <w:ilvl w:val="0"/>
          <w:numId w:val="14"/>
        </w:numPr>
        <w:jc w:val="both"/>
        <w:rPr>
          <w:rFonts w:ascii="Times New Roman" w:hAnsi="Times New Roman" w:cs="Times New Roman"/>
          <w:bCs/>
          <w:sz w:val="24"/>
          <w:szCs w:val="24"/>
        </w:rPr>
      </w:pPr>
      <w:r w:rsidRPr="00CE1F1F">
        <w:rPr>
          <w:rFonts w:ascii="Times New Roman" w:hAnsi="Times New Roman" w:cs="Times New Roman"/>
          <w:bCs/>
          <w:sz w:val="24"/>
          <w:szCs w:val="24"/>
        </w:rPr>
        <w:t>The findings of the study that was conducted revealed that the performance of listed manufacturing businesses in Nigeria is positively impacted by capital structure, which is represented by total debt, total equity, and total asset. This was discovered as a result of the research that was carried out. The findings of the investigation have important repercussions for the management of manufacturing companies as well as other stakeholders, as the following points will explain:</w:t>
      </w:r>
    </w:p>
    <w:p w14:paraId="19BD3663" w14:textId="6F091936" w:rsidR="00CE1F1F" w:rsidRPr="00CE1F1F" w:rsidRDefault="00CE1F1F" w:rsidP="00CE1F1F">
      <w:pPr>
        <w:pStyle w:val="ListParagraph"/>
        <w:numPr>
          <w:ilvl w:val="0"/>
          <w:numId w:val="14"/>
        </w:numPr>
        <w:jc w:val="both"/>
        <w:rPr>
          <w:rFonts w:ascii="Times New Roman" w:hAnsi="Times New Roman" w:cs="Times New Roman"/>
          <w:bCs/>
          <w:sz w:val="24"/>
          <w:szCs w:val="24"/>
        </w:rPr>
      </w:pPr>
      <w:r w:rsidRPr="00CE1F1F">
        <w:rPr>
          <w:rFonts w:ascii="Times New Roman" w:hAnsi="Times New Roman" w:cs="Times New Roman"/>
          <w:bCs/>
          <w:sz w:val="24"/>
          <w:szCs w:val="24"/>
        </w:rPr>
        <w:t>According to the findings of this research, the degree of financial performance significantly improved as the amount of equity grew. This suggests that the management of the company supports greater equity rather than loans in order to increase the profitability of the business.</w:t>
      </w:r>
    </w:p>
    <w:p w14:paraId="0ADC3F0C" w14:textId="26D5E1A4" w:rsidR="00CE1F1F" w:rsidRPr="00CE1F1F" w:rsidRDefault="00CE1F1F" w:rsidP="00CE1F1F">
      <w:pPr>
        <w:pStyle w:val="ListParagraph"/>
        <w:numPr>
          <w:ilvl w:val="0"/>
          <w:numId w:val="14"/>
        </w:numPr>
        <w:jc w:val="both"/>
        <w:rPr>
          <w:rFonts w:ascii="Times New Roman" w:hAnsi="Times New Roman" w:cs="Times New Roman"/>
          <w:bCs/>
          <w:sz w:val="24"/>
          <w:szCs w:val="24"/>
        </w:rPr>
      </w:pPr>
      <w:r w:rsidRPr="00CE1F1F">
        <w:rPr>
          <w:rFonts w:ascii="Times New Roman" w:hAnsi="Times New Roman" w:cs="Times New Roman"/>
          <w:bCs/>
          <w:sz w:val="24"/>
          <w:szCs w:val="24"/>
        </w:rPr>
        <w:t>The research revealed evidence to support the hypothesis that a company's capital structure, measured in terms of both total debt and total assets, makes a significant contribution to the latter's financial success. This indicates that an increase in both total assets and long-term loans utilized by manufacturing companies in Nigeria adds to an improvement in the profitability of the businesses' owners.</w:t>
      </w:r>
    </w:p>
    <w:p w14:paraId="6853F8AD" w14:textId="745715F3" w:rsidR="00CE1F1F" w:rsidRPr="00CE1F1F" w:rsidRDefault="00CE1F1F" w:rsidP="00CE1F1F">
      <w:pPr>
        <w:jc w:val="both"/>
        <w:rPr>
          <w:rFonts w:ascii="Times New Roman" w:hAnsi="Times New Roman" w:cs="Times New Roman"/>
          <w:b/>
          <w:sz w:val="24"/>
          <w:szCs w:val="24"/>
        </w:rPr>
      </w:pPr>
      <w:r w:rsidRPr="00CE1F1F">
        <w:rPr>
          <w:rFonts w:ascii="Times New Roman" w:hAnsi="Times New Roman" w:cs="Times New Roman"/>
          <w:b/>
          <w:sz w:val="24"/>
          <w:szCs w:val="24"/>
        </w:rPr>
        <w:t>Conclusion</w:t>
      </w:r>
    </w:p>
    <w:p w14:paraId="2DC5C826" w14:textId="4BF205EF" w:rsidR="00CE1F1F" w:rsidRPr="00CE1F1F" w:rsidRDefault="00CE1F1F" w:rsidP="00CE1F1F">
      <w:pPr>
        <w:jc w:val="both"/>
        <w:rPr>
          <w:rFonts w:ascii="Times New Roman" w:hAnsi="Times New Roman" w:cs="Times New Roman"/>
          <w:bCs/>
          <w:sz w:val="24"/>
          <w:szCs w:val="24"/>
        </w:rPr>
      </w:pPr>
      <w:r w:rsidRPr="00CE1F1F">
        <w:rPr>
          <w:rFonts w:ascii="Times New Roman" w:hAnsi="Times New Roman" w:cs="Times New Roman"/>
          <w:bCs/>
          <w:sz w:val="24"/>
          <w:szCs w:val="24"/>
        </w:rPr>
        <w:t>Based on the findings, the following conclusions can be drawn: the financial performance of manufacturing firms in Nigeria can be significantly influenced by equity capital, total debt, and total asset; the influence of short-term debt on financial performance can be insignificant; and total asset can significantly influence financial performance.</w:t>
      </w:r>
    </w:p>
    <w:p w14:paraId="5BF7EF52" w14:textId="1EDA8901" w:rsidR="00CE1F1F" w:rsidRPr="00CE1F1F" w:rsidRDefault="00CE1F1F" w:rsidP="00CE1F1F">
      <w:pPr>
        <w:jc w:val="both"/>
        <w:rPr>
          <w:rFonts w:ascii="Times New Roman" w:hAnsi="Times New Roman" w:cs="Times New Roman"/>
          <w:b/>
          <w:sz w:val="24"/>
          <w:szCs w:val="24"/>
        </w:rPr>
      </w:pPr>
      <w:r w:rsidRPr="00CE1F1F">
        <w:rPr>
          <w:rFonts w:ascii="Times New Roman" w:hAnsi="Times New Roman" w:cs="Times New Roman"/>
          <w:b/>
          <w:sz w:val="24"/>
          <w:szCs w:val="24"/>
        </w:rPr>
        <w:t>Recommendations</w:t>
      </w:r>
    </w:p>
    <w:p w14:paraId="456498CF" w14:textId="40C6A369" w:rsidR="00CE1F1F" w:rsidRPr="00CE1F1F" w:rsidRDefault="00CE1F1F" w:rsidP="00CE1F1F">
      <w:pPr>
        <w:jc w:val="both"/>
        <w:rPr>
          <w:rFonts w:ascii="Times New Roman" w:hAnsi="Times New Roman" w:cs="Times New Roman"/>
          <w:bCs/>
          <w:sz w:val="24"/>
          <w:szCs w:val="24"/>
        </w:rPr>
      </w:pPr>
      <w:r w:rsidRPr="00CE1F1F">
        <w:rPr>
          <w:rFonts w:ascii="Times New Roman" w:hAnsi="Times New Roman" w:cs="Times New Roman"/>
          <w:bCs/>
          <w:sz w:val="24"/>
          <w:szCs w:val="24"/>
        </w:rPr>
        <w:t>In light of the results, the following recommendations have been put up as possible courses of action:</w:t>
      </w:r>
    </w:p>
    <w:p w14:paraId="3F47177D" w14:textId="540A3275" w:rsidR="00CE1F1F" w:rsidRPr="00CE1F1F" w:rsidRDefault="00CE1F1F" w:rsidP="00CE1F1F">
      <w:pPr>
        <w:pStyle w:val="ListParagraph"/>
        <w:numPr>
          <w:ilvl w:val="0"/>
          <w:numId w:val="15"/>
        </w:numPr>
        <w:jc w:val="both"/>
        <w:rPr>
          <w:rFonts w:ascii="Times New Roman" w:hAnsi="Times New Roman" w:cs="Times New Roman"/>
          <w:bCs/>
          <w:sz w:val="24"/>
          <w:szCs w:val="24"/>
        </w:rPr>
      </w:pPr>
      <w:r w:rsidRPr="00CE1F1F">
        <w:rPr>
          <w:rFonts w:ascii="Times New Roman" w:hAnsi="Times New Roman" w:cs="Times New Roman"/>
          <w:bCs/>
          <w:sz w:val="24"/>
          <w:szCs w:val="24"/>
        </w:rPr>
        <w:t>The total amount of debt should be given priority when it comes to manufacturing enterprises who are wanting to secure funding for day-to-day operations or expansions. This is shown by the fact that the result reveals this stage, which is when total debt on its own is favorably related with financial success greatly.</w:t>
      </w:r>
    </w:p>
    <w:p w14:paraId="25986004" w14:textId="3FB5FC57" w:rsidR="00CE1F1F" w:rsidRPr="00CE1F1F" w:rsidRDefault="00CE1F1F" w:rsidP="00CE1F1F">
      <w:pPr>
        <w:pStyle w:val="ListParagraph"/>
        <w:numPr>
          <w:ilvl w:val="0"/>
          <w:numId w:val="15"/>
        </w:numPr>
        <w:jc w:val="both"/>
        <w:rPr>
          <w:rFonts w:ascii="Times New Roman" w:hAnsi="Times New Roman" w:cs="Times New Roman"/>
          <w:bCs/>
          <w:sz w:val="24"/>
          <w:szCs w:val="24"/>
        </w:rPr>
      </w:pPr>
      <w:r w:rsidRPr="00CE1F1F">
        <w:rPr>
          <w:rFonts w:ascii="Times New Roman" w:hAnsi="Times New Roman" w:cs="Times New Roman"/>
          <w:bCs/>
          <w:sz w:val="24"/>
          <w:szCs w:val="24"/>
        </w:rPr>
        <w:t>When seeking further funding, manufacturing enterprises should make it their primary objective to ensure that they will be supported only by equity capital rather than debt. This assumption may be shown to be correct by producing a result that demonstrates a constructive and substantial relationship with prosperous financial outcomes.</w:t>
      </w:r>
    </w:p>
    <w:p w14:paraId="0C4EF272" w14:textId="364EA4DF" w:rsidR="00CE1F1F" w:rsidRPr="009F34A9" w:rsidRDefault="00CE1F1F" w:rsidP="00CE1F1F">
      <w:pPr>
        <w:pStyle w:val="ListParagraph"/>
        <w:numPr>
          <w:ilvl w:val="0"/>
          <w:numId w:val="15"/>
        </w:numPr>
        <w:jc w:val="both"/>
        <w:rPr>
          <w:rFonts w:ascii="Times New Roman" w:hAnsi="Times New Roman" w:cs="Times New Roman"/>
          <w:bCs/>
          <w:sz w:val="24"/>
          <w:szCs w:val="24"/>
        </w:rPr>
      </w:pPr>
      <w:r w:rsidRPr="00CE1F1F">
        <w:rPr>
          <w:rFonts w:ascii="Times New Roman" w:hAnsi="Times New Roman" w:cs="Times New Roman"/>
          <w:bCs/>
          <w:sz w:val="24"/>
          <w:szCs w:val="24"/>
        </w:rPr>
        <w:t>In addition, manufacturing companies should issue more long-term debt and expand their employed assets in order to fund the operations of their business, provided that the value of the company can be enhanced through the use of long-term debt. This is recommended in the event that the value of the company can be enhanced through the use of long-term debt. This is due to the fact that the value of the firm has the potential to grow.</w:t>
      </w:r>
    </w:p>
    <w:p w14:paraId="1D5A0846" w14:textId="77777777" w:rsidR="009F34A9" w:rsidRDefault="00CE1F1F" w:rsidP="00CE1F1F">
      <w:pPr>
        <w:pStyle w:val="ListParagraph"/>
        <w:numPr>
          <w:ilvl w:val="0"/>
          <w:numId w:val="15"/>
        </w:numPr>
        <w:jc w:val="both"/>
        <w:rPr>
          <w:rFonts w:ascii="Times New Roman" w:hAnsi="Times New Roman" w:cs="Times New Roman"/>
          <w:bCs/>
          <w:sz w:val="24"/>
          <w:szCs w:val="24"/>
        </w:rPr>
      </w:pPr>
      <w:r w:rsidRPr="009F34A9">
        <w:rPr>
          <w:rFonts w:ascii="Times New Roman" w:hAnsi="Times New Roman" w:cs="Times New Roman"/>
          <w:bCs/>
          <w:sz w:val="24"/>
          <w:szCs w:val="24"/>
        </w:rPr>
        <w:t>The higher management of manufacturing organizations shouldn't invest an excessive amount of money in short-term debt since this doesn't provide them a lot more time to pay it back.</w:t>
      </w:r>
    </w:p>
    <w:p w14:paraId="6C4FEEE1" w14:textId="1AD2A03D" w:rsidR="00CE1F1F" w:rsidRPr="009F34A9" w:rsidRDefault="00CE1F1F" w:rsidP="00CE1F1F">
      <w:pPr>
        <w:pStyle w:val="ListParagraph"/>
        <w:numPr>
          <w:ilvl w:val="0"/>
          <w:numId w:val="15"/>
        </w:numPr>
        <w:jc w:val="both"/>
        <w:rPr>
          <w:rFonts w:ascii="Times New Roman" w:hAnsi="Times New Roman" w:cs="Times New Roman"/>
          <w:bCs/>
          <w:sz w:val="24"/>
          <w:szCs w:val="24"/>
        </w:rPr>
      </w:pPr>
      <w:r w:rsidRPr="009F34A9">
        <w:rPr>
          <w:rFonts w:ascii="Times New Roman" w:hAnsi="Times New Roman" w:cs="Times New Roman"/>
          <w:bCs/>
          <w:sz w:val="24"/>
          <w:szCs w:val="24"/>
        </w:rPr>
        <w:t>The financial management of a company ought to devise a strategy for the capital structure of their businesses that is open to the scrutiny of the general public, would provide an equitable distribution of ownership stakes, and will boost the profitability of the operations of the firms in question. It is necessary for the government to provide provisions for ideas that would boost the pace at which the economy grows in order to allow businesses to raise the profit margins that they maintain. This will assist in the acceleration of the economy's growth. There is a possibility that research with the similar focus may be expanded to look at other facets of the economy.</w:t>
      </w:r>
    </w:p>
    <w:p w14:paraId="08EE5960" w14:textId="506275D9" w:rsidR="002847A9" w:rsidRPr="009F34A9" w:rsidRDefault="006B7F00" w:rsidP="00CE1F1F">
      <w:pPr>
        <w:rPr>
          <w:rFonts w:ascii="Times New Roman" w:hAnsi="Times New Roman" w:cs="Times New Roman"/>
          <w:b/>
          <w:bCs/>
          <w:sz w:val="24"/>
          <w:szCs w:val="24"/>
        </w:rPr>
      </w:pPr>
      <w:r w:rsidRPr="009F34A9">
        <w:rPr>
          <w:rFonts w:ascii="Times New Roman" w:hAnsi="Times New Roman" w:cs="Times New Roman"/>
          <w:b/>
          <w:bCs/>
          <w:sz w:val="24"/>
          <w:szCs w:val="24"/>
        </w:rPr>
        <w:t>REFERENCE</w:t>
      </w:r>
    </w:p>
    <w:p w14:paraId="24C8E6DD" w14:textId="147B7953" w:rsidR="006B7F00" w:rsidRPr="00061566" w:rsidRDefault="006B7F00" w:rsidP="006B7F00">
      <w:pPr>
        <w:ind w:left="450" w:hanging="10"/>
        <w:jc w:val="both"/>
        <w:rPr>
          <w:rFonts w:ascii="Times New Roman" w:eastAsia="Times New Roman" w:hAnsi="Times New Roman" w:cs="Times New Roman"/>
          <w:sz w:val="24"/>
          <w:szCs w:val="24"/>
        </w:rPr>
      </w:pPr>
      <w:r w:rsidRPr="00061566">
        <w:rPr>
          <w:rFonts w:ascii="Times New Roman" w:hAnsi="Times New Roman" w:cs="Times New Roman"/>
          <w:sz w:val="24"/>
          <w:szCs w:val="24"/>
        </w:rPr>
        <w:t xml:space="preserve">  </w:t>
      </w:r>
      <w:r w:rsidRPr="00061566">
        <w:rPr>
          <w:rFonts w:ascii="Times New Roman" w:eastAsia="Times New Roman" w:hAnsi="Times New Roman" w:cs="Times New Roman"/>
          <w:sz w:val="24"/>
          <w:szCs w:val="24"/>
        </w:rPr>
        <w:t xml:space="preserve">Abor, J. (2015). The effect of capital structure on profitability: An empirical analysis of listed </w:t>
      </w:r>
      <w:r w:rsidRPr="00061566">
        <w:rPr>
          <w:rFonts w:ascii="Times New Roman" w:eastAsia="Times New Roman" w:hAnsi="Times New Roman" w:cs="Times New Roman"/>
          <w:sz w:val="24"/>
          <w:szCs w:val="24"/>
        </w:rPr>
        <w:tab/>
        <w:t xml:space="preserve">firms in Ghana. </w:t>
      </w:r>
      <w:r w:rsidRPr="00061566">
        <w:rPr>
          <w:rFonts w:ascii="Times New Roman" w:eastAsia="Times New Roman" w:hAnsi="Times New Roman" w:cs="Times New Roman"/>
          <w:i/>
          <w:iCs/>
          <w:sz w:val="24"/>
          <w:szCs w:val="24"/>
        </w:rPr>
        <w:t xml:space="preserve">Journal of Risk Finance, </w:t>
      </w:r>
      <w:r w:rsidRPr="00061566">
        <w:rPr>
          <w:rFonts w:ascii="Times New Roman" w:eastAsia="Times New Roman" w:hAnsi="Times New Roman" w:cs="Times New Roman"/>
          <w:sz w:val="24"/>
          <w:szCs w:val="24"/>
        </w:rPr>
        <w:t xml:space="preserve">6, 438-447. </w:t>
      </w:r>
    </w:p>
    <w:p w14:paraId="4A4D6AA0" w14:textId="79856906"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Ahmad, Z., Abdullah, N. M. H. and Roslan, S. (2019). Capital structure effect on firms’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performance: Focusing on consumers and </w:t>
      </w:r>
      <w:proofErr w:type="spellStart"/>
      <w:r w:rsidR="003713C7">
        <w:rPr>
          <w:rFonts w:ascii="Times New Roman" w:eastAsia="Times New Roman" w:hAnsi="Times New Roman" w:cs="Times New Roman"/>
          <w:sz w:val="24"/>
          <w:szCs w:val="24"/>
        </w:rPr>
        <w:t>manufacturing</w:t>
      </w:r>
      <w:r w:rsidRPr="006B7F00">
        <w:rPr>
          <w:rFonts w:ascii="Times New Roman" w:eastAsia="Times New Roman" w:hAnsi="Times New Roman" w:cs="Times New Roman"/>
          <w:sz w:val="24"/>
          <w:szCs w:val="24"/>
        </w:rPr>
        <w:t>s</w:t>
      </w:r>
      <w:proofErr w:type="spellEnd"/>
      <w:r w:rsidRPr="006B7F00">
        <w:rPr>
          <w:rFonts w:ascii="Times New Roman" w:eastAsia="Times New Roman" w:hAnsi="Times New Roman" w:cs="Times New Roman"/>
          <w:sz w:val="24"/>
          <w:szCs w:val="24"/>
        </w:rPr>
        <w:t xml:space="preserve"> sectors on Malaysian firms.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i/>
          <w:iCs/>
          <w:sz w:val="24"/>
          <w:szCs w:val="24"/>
        </w:rPr>
        <w:t>International Review of Business Research Papers</w:t>
      </w:r>
      <w:r w:rsidRPr="006B7F00">
        <w:rPr>
          <w:rFonts w:ascii="Times New Roman" w:eastAsia="Times New Roman" w:hAnsi="Times New Roman" w:cs="Times New Roman"/>
          <w:sz w:val="24"/>
          <w:szCs w:val="24"/>
        </w:rPr>
        <w:t xml:space="preserve">, 8(5): 137-155  </w:t>
      </w:r>
    </w:p>
    <w:p w14:paraId="17005AC3" w14:textId="77777777"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proofErr w:type="spellStart"/>
      <w:r w:rsidRPr="006B7F00">
        <w:rPr>
          <w:rFonts w:ascii="Times New Roman" w:eastAsia="Times New Roman" w:hAnsi="Times New Roman" w:cs="Times New Roman"/>
          <w:sz w:val="24"/>
          <w:szCs w:val="24"/>
        </w:rPr>
        <w:t>Oyedokun</w:t>
      </w:r>
      <w:proofErr w:type="spellEnd"/>
      <w:r w:rsidRPr="006B7F00">
        <w:rPr>
          <w:rFonts w:ascii="Times New Roman" w:eastAsia="Times New Roman" w:hAnsi="Times New Roman" w:cs="Times New Roman"/>
          <w:sz w:val="24"/>
          <w:szCs w:val="24"/>
        </w:rPr>
        <w:t xml:space="preserve">, J.L Olatunji O.O and </w:t>
      </w:r>
      <w:proofErr w:type="spellStart"/>
      <w:r w:rsidRPr="006B7F00">
        <w:rPr>
          <w:rFonts w:ascii="Times New Roman" w:eastAsia="Times New Roman" w:hAnsi="Times New Roman" w:cs="Times New Roman"/>
          <w:sz w:val="24"/>
          <w:szCs w:val="24"/>
        </w:rPr>
        <w:t>Sanyaolu</w:t>
      </w:r>
      <w:proofErr w:type="spellEnd"/>
      <w:r w:rsidRPr="006B7F00">
        <w:rPr>
          <w:rFonts w:ascii="Times New Roman" w:eastAsia="Times New Roman" w:hAnsi="Times New Roman" w:cs="Times New Roman"/>
          <w:sz w:val="24"/>
          <w:szCs w:val="24"/>
        </w:rPr>
        <w:t xml:space="preserve"> S.M (2018). Sensitivity of Performance to Capital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Structure. </w:t>
      </w:r>
      <w:r w:rsidRPr="006B7F00">
        <w:rPr>
          <w:rFonts w:ascii="Times New Roman" w:eastAsia="Times New Roman" w:hAnsi="Times New Roman" w:cs="Times New Roman"/>
          <w:i/>
          <w:iCs/>
          <w:sz w:val="24"/>
          <w:szCs w:val="24"/>
        </w:rPr>
        <w:t>European Journal of Social Science</w:t>
      </w:r>
      <w:r w:rsidRPr="006B7F00">
        <w:rPr>
          <w:rFonts w:ascii="Times New Roman" w:eastAsia="Times New Roman" w:hAnsi="Times New Roman" w:cs="Times New Roman"/>
          <w:sz w:val="24"/>
          <w:szCs w:val="24"/>
        </w:rPr>
        <w:t xml:space="preserve">, 7(1): 163-144. </w:t>
      </w:r>
      <w:r w:rsidRPr="006B7F00">
        <w:rPr>
          <w:rFonts w:ascii="Times New Roman" w:eastAsia="Times New Roman" w:hAnsi="Times New Roman" w:cs="Times New Roman"/>
          <w:sz w:val="24"/>
          <w:szCs w:val="24"/>
        </w:rPr>
        <w:tab/>
      </w:r>
    </w:p>
    <w:p w14:paraId="03A6AE21" w14:textId="3F9EB431"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Barbosa, N. and Louri, H. (2020). Corporate Performance: Does Ownership Matter? A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Comparison of Foreign- and Domestic-Owned Firms in Greece and Portugal.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i/>
          <w:iCs/>
          <w:sz w:val="24"/>
          <w:szCs w:val="24"/>
        </w:rPr>
        <w:t xml:space="preserve">Review of </w:t>
      </w:r>
      <w:r w:rsidR="003713C7">
        <w:rPr>
          <w:rFonts w:ascii="Times New Roman" w:eastAsia="Times New Roman" w:hAnsi="Times New Roman" w:cs="Times New Roman"/>
          <w:i/>
          <w:iCs/>
          <w:sz w:val="24"/>
          <w:szCs w:val="24"/>
        </w:rPr>
        <w:t>Manufacturing</w:t>
      </w:r>
      <w:r w:rsidRPr="006B7F00">
        <w:rPr>
          <w:rFonts w:ascii="Times New Roman" w:eastAsia="Times New Roman" w:hAnsi="Times New Roman" w:cs="Times New Roman"/>
          <w:i/>
          <w:iCs/>
          <w:sz w:val="24"/>
          <w:szCs w:val="24"/>
        </w:rPr>
        <w:t xml:space="preserve"> Organization</w:t>
      </w:r>
      <w:r w:rsidRPr="006B7F00">
        <w:rPr>
          <w:rFonts w:ascii="Times New Roman" w:eastAsia="Times New Roman" w:hAnsi="Times New Roman" w:cs="Times New Roman"/>
          <w:sz w:val="24"/>
          <w:szCs w:val="24"/>
        </w:rPr>
        <w:t xml:space="preserve">, 27(1): 73-102.  </w:t>
      </w:r>
    </w:p>
    <w:p w14:paraId="2C72DFD0" w14:textId="77777777" w:rsidR="006B7F00" w:rsidRPr="006B7F00" w:rsidRDefault="006B7F00" w:rsidP="006B7F00">
      <w:pPr>
        <w:spacing w:after="112"/>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Dare, F. D. and Sola, O. (2018). Capital structure and corporate performance in </w:t>
      </w:r>
    </w:p>
    <w:p w14:paraId="4E00EE67" w14:textId="77777777"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Nigeria petroleum industry: Panel data analysis. </w:t>
      </w:r>
      <w:r w:rsidRPr="006B7F00">
        <w:rPr>
          <w:rFonts w:ascii="Times New Roman" w:eastAsia="Times New Roman" w:hAnsi="Times New Roman" w:cs="Times New Roman"/>
          <w:i/>
          <w:iCs/>
          <w:sz w:val="24"/>
          <w:szCs w:val="24"/>
        </w:rPr>
        <w:t xml:space="preserve">Journal of Mathematics and </w:t>
      </w:r>
      <w:r w:rsidRPr="006B7F00">
        <w:rPr>
          <w:rFonts w:ascii="Times New Roman" w:eastAsia="Times New Roman" w:hAnsi="Times New Roman" w:cs="Times New Roman"/>
          <w:i/>
          <w:iCs/>
          <w:sz w:val="24"/>
          <w:szCs w:val="24"/>
        </w:rPr>
        <w:tab/>
      </w:r>
      <w:r w:rsidRPr="006B7F00">
        <w:rPr>
          <w:rFonts w:ascii="Times New Roman" w:eastAsia="Times New Roman" w:hAnsi="Times New Roman" w:cs="Times New Roman"/>
          <w:i/>
          <w:iCs/>
          <w:sz w:val="24"/>
          <w:szCs w:val="24"/>
        </w:rPr>
        <w:tab/>
      </w:r>
      <w:r w:rsidRPr="006B7F00">
        <w:rPr>
          <w:rFonts w:ascii="Times New Roman" w:eastAsia="Times New Roman" w:hAnsi="Times New Roman" w:cs="Times New Roman"/>
          <w:i/>
          <w:iCs/>
          <w:sz w:val="24"/>
          <w:szCs w:val="24"/>
        </w:rPr>
        <w:tab/>
        <w:t>Statistics</w:t>
      </w:r>
      <w:r w:rsidRPr="006B7F00">
        <w:rPr>
          <w:rFonts w:ascii="Times New Roman" w:eastAsia="Times New Roman" w:hAnsi="Times New Roman" w:cs="Times New Roman"/>
          <w:sz w:val="24"/>
          <w:szCs w:val="24"/>
        </w:rPr>
        <w:t xml:space="preserve">, 6(2): 168-173. </w:t>
      </w:r>
    </w:p>
    <w:p w14:paraId="14C6B5F8" w14:textId="77777777" w:rsidR="006B7F00" w:rsidRPr="006B7F00" w:rsidRDefault="006B7F00" w:rsidP="006B7F00">
      <w:pPr>
        <w:spacing w:after="115"/>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Frank, M. and Goyal, V. (2003). Testing the pecking order theory of capital structure. </w:t>
      </w:r>
    </w:p>
    <w:p w14:paraId="263FA8B0" w14:textId="77777777" w:rsidR="006B7F00" w:rsidRPr="006B7F00" w:rsidRDefault="006B7F00" w:rsidP="006B7F00">
      <w:pPr>
        <w:spacing w:after="116"/>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i/>
          <w:iCs/>
          <w:sz w:val="24"/>
          <w:szCs w:val="24"/>
        </w:rPr>
        <w:t>Journal of Financial Economics</w:t>
      </w:r>
      <w:r w:rsidRPr="006B7F00">
        <w:rPr>
          <w:rFonts w:ascii="Times New Roman" w:eastAsia="Times New Roman" w:hAnsi="Times New Roman" w:cs="Times New Roman"/>
          <w:sz w:val="24"/>
          <w:szCs w:val="24"/>
        </w:rPr>
        <w:t xml:space="preserve">, 67, 217-48. </w:t>
      </w:r>
    </w:p>
    <w:p w14:paraId="73372740" w14:textId="77777777"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proofErr w:type="spellStart"/>
      <w:r w:rsidRPr="006B7F00">
        <w:rPr>
          <w:rFonts w:ascii="Times New Roman" w:eastAsia="Times New Roman" w:hAnsi="Times New Roman" w:cs="Times New Roman"/>
          <w:sz w:val="24"/>
          <w:szCs w:val="24"/>
        </w:rPr>
        <w:t>Iorpev</w:t>
      </w:r>
      <w:proofErr w:type="spellEnd"/>
      <w:r w:rsidRPr="006B7F00">
        <w:rPr>
          <w:rFonts w:ascii="Times New Roman" w:eastAsia="Times New Roman" w:hAnsi="Times New Roman" w:cs="Times New Roman"/>
          <w:sz w:val="24"/>
          <w:szCs w:val="24"/>
        </w:rPr>
        <w:t xml:space="preserve">, L. and </w:t>
      </w:r>
      <w:proofErr w:type="spellStart"/>
      <w:r w:rsidRPr="006B7F00">
        <w:rPr>
          <w:rFonts w:ascii="Times New Roman" w:eastAsia="Times New Roman" w:hAnsi="Times New Roman" w:cs="Times New Roman"/>
          <w:sz w:val="24"/>
          <w:szCs w:val="24"/>
        </w:rPr>
        <w:t>Kwanum</w:t>
      </w:r>
      <w:proofErr w:type="spellEnd"/>
      <w:r w:rsidRPr="006B7F00">
        <w:rPr>
          <w:rFonts w:ascii="Times New Roman" w:eastAsia="Times New Roman" w:hAnsi="Times New Roman" w:cs="Times New Roman"/>
          <w:sz w:val="24"/>
          <w:szCs w:val="24"/>
        </w:rPr>
        <w:t xml:space="preserve">, I. M. (2012). Capital structure and firm performance: Evidence from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manufacturing companies in Nigeria. </w:t>
      </w:r>
      <w:r w:rsidRPr="006B7F00">
        <w:rPr>
          <w:rFonts w:ascii="Times New Roman" w:eastAsia="Times New Roman" w:hAnsi="Times New Roman" w:cs="Times New Roman"/>
          <w:i/>
          <w:iCs/>
          <w:sz w:val="24"/>
          <w:szCs w:val="24"/>
        </w:rPr>
        <w:t xml:space="preserve">International Journal of Business and </w:t>
      </w:r>
      <w:r w:rsidRPr="006B7F00">
        <w:rPr>
          <w:rFonts w:ascii="Times New Roman" w:eastAsia="Times New Roman" w:hAnsi="Times New Roman" w:cs="Times New Roman"/>
          <w:i/>
          <w:iCs/>
          <w:sz w:val="24"/>
          <w:szCs w:val="24"/>
        </w:rPr>
        <w:tab/>
      </w:r>
      <w:r w:rsidRPr="006B7F00">
        <w:rPr>
          <w:rFonts w:ascii="Times New Roman" w:eastAsia="Times New Roman" w:hAnsi="Times New Roman" w:cs="Times New Roman"/>
          <w:i/>
          <w:iCs/>
          <w:sz w:val="24"/>
          <w:szCs w:val="24"/>
        </w:rPr>
        <w:tab/>
      </w:r>
      <w:r w:rsidRPr="006B7F00">
        <w:rPr>
          <w:rFonts w:ascii="Times New Roman" w:eastAsia="Times New Roman" w:hAnsi="Times New Roman" w:cs="Times New Roman"/>
          <w:i/>
          <w:iCs/>
          <w:sz w:val="24"/>
          <w:szCs w:val="24"/>
        </w:rPr>
        <w:tab/>
        <w:t>Management Tomorrow</w:t>
      </w:r>
      <w:r w:rsidRPr="006B7F00">
        <w:rPr>
          <w:rFonts w:ascii="Times New Roman" w:eastAsia="Times New Roman" w:hAnsi="Times New Roman" w:cs="Times New Roman"/>
          <w:sz w:val="24"/>
          <w:szCs w:val="24"/>
        </w:rPr>
        <w:t xml:space="preserve">, 2(5): 1-7  </w:t>
      </w:r>
    </w:p>
    <w:p w14:paraId="25E9AEC0" w14:textId="77777777"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Modigliani, F. and Miller, M. (1958). The cost of capital, corporate finance and the theory of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investment. </w:t>
      </w:r>
      <w:r w:rsidRPr="006B7F00">
        <w:rPr>
          <w:rFonts w:ascii="Times New Roman" w:eastAsia="Times New Roman" w:hAnsi="Times New Roman" w:cs="Times New Roman"/>
          <w:i/>
          <w:iCs/>
          <w:sz w:val="24"/>
          <w:szCs w:val="24"/>
        </w:rPr>
        <w:t>American Economic Review</w:t>
      </w:r>
      <w:r w:rsidRPr="006B7F00">
        <w:rPr>
          <w:rFonts w:ascii="Times New Roman" w:eastAsia="Times New Roman" w:hAnsi="Times New Roman" w:cs="Times New Roman"/>
          <w:sz w:val="24"/>
          <w:szCs w:val="24"/>
        </w:rPr>
        <w:t xml:space="preserve">, 48, 261-297. </w:t>
      </w:r>
    </w:p>
    <w:p w14:paraId="10E1AFD4" w14:textId="77777777" w:rsidR="006B7F00" w:rsidRPr="006B7F00" w:rsidRDefault="006B7F00" w:rsidP="006B7F00">
      <w:pPr>
        <w:spacing w:after="116"/>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Myers, S. (1984). The capital structure puzzle. Journal of Finance, 39, 575-92. </w:t>
      </w:r>
    </w:p>
    <w:p w14:paraId="3D2314B5" w14:textId="77777777"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proofErr w:type="spellStart"/>
      <w:r w:rsidRPr="006B7F00">
        <w:rPr>
          <w:rFonts w:ascii="Times New Roman" w:eastAsia="Times New Roman" w:hAnsi="Times New Roman" w:cs="Times New Roman"/>
          <w:sz w:val="24"/>
          <w:szCs w:val="24"/>
        </w:rPr>
        <w:t>Onaolapo</w:t>
      </w:r>
      <w:proofErr w:type="spellEnd"/>
      <w:r w:rsidRPr="006B7F00">
        <w:rPr>
          <w:rFonts w:ascii="Times New Roman" w:eastAsia="Times New Roman" w:hAnsi="Times New Roman" w:cs="Times New Roman"/>
          <w:sz w:val="24"/>
          <w:szCs w:val="24"/>
        </w:rPr>
        <w:t xml:space="preserve">, A. A. and Kajola, S. O. (2018). Capital structure and firm performance: Evidence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from Nigeria.  </w:t>
      </w:r>
      <w:r w:rsidRPr="006B7F00">
        <w:rPr>
          <w:rFonts w:ascii="Times New Roman" w:eastAsia="Times New Roman" w:hAnsi="Times New Roman" w:cs="Times New Roman"/>
          <w:i/>
          <w:iCs/>
          <w:sz w:val="24"/>
          <w:szCs w:val="24"/>
        </w:rPr>
        <w:t xml:space="preserve">European Journal of Economics, Finance and Administrative </w:t>
      </w:r>
      <w:r w:rsidRPr="006B7F00">
        <w:rPr>
          <w:rFonts w:ascii="Times New Roman" w:eastAsia="Times New Roman" w:hAnsi="Times New Roman" w:cs="Times New Roman"/>
          <w:i/>
          <w:iCs/>
          <w:sz w:val="24"/>
          <w:szCs w:val="24"/>
        </w:rPr>
        <w:tab/>
      </w:r>
      <w:r w:rsidRPr="006B7F00">
        <w:rPr>
          <w:rFonts w:ascii="Times New Roman" w:eastAsia="Times New Roman" w:hAnsi="Times New Roman" w:cs="Times New Roman"/>
          <w:i/>
          <w:iCs/>
          <w:sz w:val="24"/>
          <w:szCs w:val="24"/>
        </w:rPr>
        <w:tab/>
      </w:r>
      <w:r w:rsidRPr="006B7F00">
        <w:rPr>
          <w:rFonts w:ascii="Times New Roman" w:eastAsia="Times New Roman" w:hAnsi="Times New Roman" w:cs="Times New Roman"/>
          <w:i/>
          <w:iCs/>
          <w:sz w:val="24"/>
          <w:szCs w:val="24"/>
        </w:rPr>
        <w:tab/>
        <w:t>Sciences</w:t>
      </w:r>
      <w:r w:rsidRPr="006B7F00">
        <w:rPr>
          <w:rFonts w:ascii="Times New Roman" w:eastAsia="Times New Roman" w:hAnsi="Times New Roman" w:cs="Times New Roman"/>
          <w:sz w:val="24"/>
          <w:szCs w:val="24"/>
        </w:rPr>
        <w:t xml:space="preserve">, 25, 70-82 </w:t>
      </w:r>
    </w:p>
    <w:p w14:paraId="05DE428B" w14:textId="77777777"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Prahalathan, B. and Ranjan, R. P. C. (2011). The impact of capital structure-choice on firm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performance: Empirical investigation of listed companies in Colombo stock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exchange, </w:t>
      </w:r>
      <w:proofErr w:type="spellStart"/>
      <w:r w:rsidRPr="006B7F00">
        <w:rPr>
          <w:rFonts w:ascii="Times New Roman" w:eastAsia="Times New Roman" w:hAnsi="Times New Roman" w:cs="Times New Roman"/>
          <w:sz w:val="24"/>
          <w:szCs w:val="24"/>
        </w:rPr>
        <w:t>Srilanka</w:t>
      </w:r>
      <w:proofErr w:type="spellEnd"/>
      <w:r w:rsidRPr="006B7F00">
        <w:rPr>
          <w:rFonts w:ascii="Times New Roman" w:eastAsia="Times New Roman" w:hAnsi="Times New Roman" w:cs="Times New Roman"/>
          <w:sz w:val="24"/>
          <w:szCs w:val="24"/>
        </w:rPr>
        <w:t xml:space="preserve">. International Journal of Research in Commerce and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Management, 2(4): 12-17   </w:t>
      </w:r>
    </w:p>
    <w:p w14:paraId="3AAB795B" w14:textId="77777777"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Saad, N. M. (2021). Corporate governance compliance and the effects to capital structure.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i/>
          <w:iCs/>
          <w:sz w:val="24"/>
          <w:szCs w:val="24"/>
        </w:rPr>
        <w:t>International Journal of Economics and Financial,</w:t>
      </w:r>
      <w:r w:rsidRPr="006B7F00">
        <w:rPr>
          <w:rFonts w:ascii="Times New Roman" w:eastAsia="Times New Roman" w:hAnsi="Times New Roman" w:cs="Times New Roman"/>
          <w:sz w:val="24"/>
          <w:szCs w:val="24"/>
        </w:rPr>
        <w:t xml:space="preserve"> 2(1): 105-114. </w:t>
      </w:r>
    </w:p>
    <w:p w14:paraId="5F5B6E00" w14:textId="77777777" w:rsidR="006B7F00" w:rsidRPr="006B7F00" w:rsidRDefault="006B7F00" w:rsidP="006B7F00">
      <w:pPr>
        <w:spacing w:after="4" w:line="364" w:lineRule="auto"/>
        <w:ind w:left="44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Sunday, O. T. and Samson, T. B. (2019). Capital Structure and Corporate Performance of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Malaysian Construction Sector. International Journal of Humanities and Social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Science, 1(2):28-36 </w:t>
      </w:r>
    </w:p>
    <w:p w14:paraId="5197DCF3" w14:textId="77777777" w:rsidR="006B7F00" w:rsidRPr="006B7F00" w:rsidRDefault="006B7F00" w:rsidP="006B7F00">
      <w:pPr>
        <w:spacing w:after="115"/>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Tian, G. G. and </w:t>
      </w:r>
      <w:proofErr w:type="spellStart"/>
      <w:r w:rsidRPr="006B7F00">
        <w:rPr>
          <w:rFonts w:ascii="Times New Roman" w:eastAsia="Times New Roman" w:hAnsi="Times New Roman" w:cs="Times New Roman"/>
          <w:sz w:val="24"/>
          <w:szCs w:val="24"/>
        </w:rPr>
        <w:t>Zeitun</w:t>
      </w:r>
      <w:proofErr w:type="spellEnd"/>
      <w:r w:rsidRPr="006B7F00">
        <w:rPr>
          <w:rFonts w:ascii="Times New Roman" w:eastAsia="Times New Roman" w:hAnsi="Times New Roman" w:cs="Times New Roman"/>
          <w:sz w:val="24"/>
          <w:szCs w:val="24"/>
        </w:rPr>
        <w:t xml:space="preserve">, R. (2017). Capital structure and corporate performance: </w:t>
      </w:r>
    </w:p>
    <w:p w14:paraId="4A044625" w14:textId="77777777" w:rsidR="006B7F00" w:rsidRPr="006B7F00" w:rsidRDefault="006B7F00" w:rsidP="006B7F00">
      <w:pPr>
        <w:spacing w:after="197" w:line="364" w:lineRule="auto"/>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evidence from Jordan. Australian Accounting Business and Finance Journal, 1(4):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4053 </w:t>
      </w:r>
    </w:p>
    <w:p w14:paraId="2103DA8D" w14:textId="77777777"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r w:rsidRPr="006B7F00">
        <w:rPr>
          <w:rFonts w:ascii="Times New Roman" w:eastAsia="Times New Roman" w:hAnsi="Times New Roman" w:cs="Times New Roman"/>
          <w:sz w:val="24"/>
          <w:szCs w:val="24"/>
        </w:rPr>
        <w:t xml:space="preserve">Tsuji, C. (2011). Recent development of the agency theory and capital structure. Economics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and Finance Review, 1(6): 94-99. </w:t>
      </w:r>
    </w:p>
    <w:p w14:paraId="2BE41649" w14:textId="77777777" w:rsidR="006B7F00" w:rsidRPr="006B7F00" w:rsidRDefault="006B7F00" w:rsidP="006B7F00">
      <w:pPr>
        <w:spacing w:after="4" w:line="364" w:lineRule="auto"/>
        <w:ind w:left="450" w:hanging="10"/>
        <w:jc w:val="both"/>
        <w:rPr>
          <w:rFonts w:ascii="Times New Roman" w:eastAsia="Times New Roman" w:hAnsi="Times New Roman" w:cs="Times New Roman"/>
          <w:sz w:val="24"/>
          <w:szCs w:val="24"/>
        </w:rPr>
      </w:pPr>
      <w:proofErr w:type="spellStart"/>
      <w:r w:rsidRPr="006B7F00">
        <w:rPr>
          <w:rFonts w:ascii="Times New Roman" w:eastAsia="Times New Roman" w:hAnsi="Times New Roman" w:cs="Times New Roman"/>
          <w:sz w:val="24"/>
          <w:szCs w:val="24"/>
        </w:rPr>
        <w:t>Warokka</w:t>
      </w:r>
      <w:proofErr w:type="spellEnd"/>
      <w:r w:rsidRPr="006B7F00">
        <w:rPr>
          <w:rFonts w:ascii="Times New Roman" w:eastAsia="Times New Roman" w:hAnsi="Times New Roman" w:cs="Times New Roman"/>
          <w:sz w:val="24"/>
          <w:szCs w:val="24"/>
        </w:rPr>
        <w:t xml:space="preserve">, A., Herrera, J. J. and Abdullah, H. H. (2020). East Asian corporate governance: A </w:t>
      </w:r>
      <w:r w:rsidRPr="006B7F00">
        <w:rPr>
          <w:rFonts w:ascii="Times New Roman" w:eastAsia="Times New Roman" w:hAnsi="Times New Roman" w:cs="Times New Roman"/>
          <w:sz w:val="24"/>
          <w:szCs w:val="24"/>
        </w:rPr>
        <w:tab/>
      </w:r>
      <w:r w:rsidRPr="006B7F00">
        <w:rPr>
          <w:rFonts w:ascii="Times New Roman" w:eastAsia="Times New Roman" w:hAnsi="Times New Roman" w:cs="Times New Roman"/>
          <w:sz w:val="24"/>
          <w:szCs w:val="24"/>
        </w:rPr>
        <w:tab/>
        <w:t xml:space="preserve">test of the relation between capital structure and firm performance. </w:t>
      </w:r>
      <w:r w:rsidRPr="006B7F00">
        <w:rPr>
          <w:rFonts w:ascii="Times New Roman" w:eastAsia="Times New Roman" w:hAnsi="Times New Roman" w:cs="Times New Roman"/>
          <w:i/>
          <w:iCs/>
          <w:sz w:val="24"/>
          <w:szCs w:val="24"/>
        </w:rPr>
        <w:t>International Journal of Economics and Finance Studies,</w:t>
      </w:r>
      <w:r w:rsidRPr="006B7F00">
        <w:rPr>
          <w:rFonts w:ascii="Times New Roman" w:eastAsia="Times New Roman" w:hAnsi="Times New Roman" w:cs="Times New Roman"/>
          <w:sz w:val="24"/>
          <w:szCs w:val="24"/>
        </w:rPr>
        <w:t xml:space="preserve"> 3(2): 1-10 </w:t>
      </w:r>
    </w:p>
    <w:p w14:paraId="6837B7CC" w14:textId="77777777" w:rsidR="006B7F00" w:rsidRPr="006B7F00" w:rsidRDefault="006B7F00" w:rsidP="006B7F00">
      <w:pPr>
        <w:spacing w:after="4" w:line="364" w:lineRule="auto"/>
        <w:ind w:left="450" w:right="1" w:hanging="10"/>
        <w:jc w:val="both"/>
        <w:rPr>
          <w:rFonts w:ascii="Times New Roman" w:eastAsia="Times New Roman" w:hAnsi="Times New Roman" w:cs="Times New Roman"/>
          <w:sz w:val="24"/>
          <w:szCs w:val="24"/>
        </w:rPr>
      </w:pPr>
    </w:p>
    <w:p w14:paraId="440E8E18" w14:textId="3C92FFAD" w:rsidR="006B7F00" w:rsidRPr="00061566" w:rsidRDefault="006B7F00">
      <w:pPr>
        <w:rPr>
          <w:rFonts w:ascii="Times New Roman" w:hAnsi="Times New Roman" w:cs="Times New Roman"/>
          <w:sz w:val="24"/>
          <w:szCs w:val="24"/>
        </w:rPr>
      </w:pPr>
    </w:p>
    <w:sectPr w:rsidR="006B7F00" w:rsidRPr="00061566" w:rsidSect="00AF1598">
      <w:headerReference w:type="even" r:id="rId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91441" w14:textId="77777777" w:rsidR="005D6EEF" w:rsidRDefault="005D6EEF">
      <w:pPr>
        <w:spacing w:after="0" w:line="240" w:lineRule="auto"/>
      </w:pPr>
      <w:r>
        <w:separator/>
      </w:r>
    </w:p>
  </w:endnote>
  <w:endnote w:type="continuationSeparator" w:id="0">
    <w:p w14:paraId="35EAC3D9" w14:textId="77777777" w:rsidR="005D6EEF" w:rsidRDefault="005D6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125997"/>
      <w:docPartObj>
        <w:docPartGallery w:val="Page Numbers (Bottom of Page)"/>
        <w:docPartUnique/>
      </w:docPartObj>
    </w:sdtPr>
    <w:sdtEndPr>
      <w:rPr>
        <w:noProof/>
      </w:rPr>
    </w:sdtEndPr>
    <w:sdtContent>
      <w:p w14:paraId="660AB834" w14:textId="77777777" w:rsidR="00430C5F" w:rsidRDefault="00E159A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4498054" w14:textId="77777777" w:rsidR="00430C5F" w:rsidRDefault="005D6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F63C0" w14:textId="77777777" w:rsidR="005D6EEF" w:rsidRDefault="005D6EEF">
      <w:pPr>
        <w:spacing w:after="0" w:line="240" w:lineRule="auto"/>
      </w:pPr>
      <w:r>
        <w:separator/>
      </w:r>
    </w:p>
  </w:footnote>
  <w:footnote w:type="continuationSeparator" w:id="0">
    <w:p w14:paraId="1C05A3BE" w14:textId="77777777" w:rsidR="005D6EEF" w:rsidRDefault="005D6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8C5F" w14:textId="4BC4C48D" w:rsidR="00AF1598" w:rsidRPr="00AF1598" w:rsidRDefault="00AF1598" w:rsidP="00AF1598">
    <w:pPr>
      <w:pStyle w:val="Header"/>
    </w:pPr>
    <w:r>
      <w:rPr>
        <w:noProof/>
      </w:rPr>
      <w:drawing>
        <wp:inline distT="0" distB="0" distL="0" distR="0" wp14:anchorId="56B5228C" wp14:editId="7DFB4014">
          <wp:extent cx="5731510" cy="1256523"/>
          <wp:effectExtent l="19050" t="0" r="2540" b="0"/>
          <wp:docPr id="2"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F0D0" w14:textId="6209F019" w:rsidR="00AF1598" w:rsidRDefault="00AF1598">
    <w:pPr>
      <w:pStyle w:val="Header"/>
    </w:pPr>
    <w:r>
      <w:rPr>
        <w:noProof/>
      </w:rPr>
      <w:drawing>
        <wp:inline distT="0" distB="0" distL="0" distR="0" wp14:anchorId="324CD523" wp14:editId="48996253">
          <wp:extent cx="5731510" cy="1256523"/>
          <wp:effectExtent l="19050" t="0" r="2540" b="0"/>
          <wp:docPr id="3"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5CAA"/>
    <w:multiLevelType w:val="hybridMultilevel"/>
    <w:tmpl w:val="20BE6EAC"/>
    <w:lvl w:ilvl="0" w:tplc="006A4C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00DC4"/>
    <w:multiLevelType w:val="hybridMultilevel"/>
    <w:tmpl w:val="7EC6FF14"/>
    <w:lvl w:ilvl="0" w:tplc="3412E096">
      <w:start w:val="1"/>
      <w:numFmt w:val="lowerRoman"/>
      <w:lvlText w:val="%1."/>
      <w:lvlJc w:val="right"/>
      <w:pPr>
        <w:ind w:left="1440" w:hanging="360"/>
      </w:pPr>
      <w:rPr>
        <w:rFonts w:hint="default"/>
        <w:b w:val="0"/>
        <w:bCs/>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 w15:restartNumberingAfterBreak="0">
    <w:nsid w:val="10A9552E"/>
    <w:multiLevelType w:val="hybridMultilevel"/>
    <w:tmpl w:val="DEB2D36A"/>
    <w:lvl w:ilvl="0" w:tplc="9C04D4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7A72DC"/>
    <w:multiLevelType w:val="hybridMultilevel"/>
    <w:tmpl w:val="DEB2D36A"/>
    <w:lvl w:ilvl="0" w:tplc="9C04D4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BC1C92"/>
    <w:multiLevelType w:val="hybridMultilevel"/>
    <w:tmpl w:val="2F88ED20"/>
    <w:lvl w:ilvl="0" w:tplc="6BECB4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20912"/>
    <w:multiLevelType w:val="hybridMultilevel"/>
    <w:tmpl w:val="93407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901AEF"/>
    <w:multiLevelType w:val="hybridMultilevel"/>
    <w:tmpl w:val="DEB2D36A"/>
    <w:lvl w:ilvl="0" w:tplc="9C04D4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A6A7A"/>
    <w:multiLevelType w:val="hybridMultilevel"/>
    <w:tmpl w:val="25A6DCE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42AB57CC"/>
    <w:multiLevelType w:val="hybridMultilevel"/>
    <w:tmpl w:val="A418D68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9" w15:restartNumberingAfterBreak="0">
    <w:nsid w:val="49F8023E"/>
    <w:multiLevelType w:val="hybridMultilevel"/>
    <w:tmpl w:val="DEB2D36A"/>
    <w:lvl w:ilvl="0" w:tplc="9C04D4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A62844"/>
    <w:multiLevelType w:val="hybridMultilevel"/>
    <w:tmpl w:val="DEB2D36A"/>
    <w:lvl w:ilvl="0" w:tplc="9C04D4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5F3C46"/>
    <w:multiLevelType w:val="hybridMultilevel"/>
    <w:tmpl w:val="AFA4B578"/>
    <w:lvl w:ilvl="0" w:tplc="638E93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7329C6"/>
    <w:multiLevelType w:val="multilevel"/>
    <w:tmpl w:val="F594D1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988373A"/>
    <w:multiLevelType w:val="hybridMultilevel"/>
    <w:tmpl w:val="73A85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E2171F"/>
    <w:multiLevelType w:val="hybridMultilevel"/>
    <w:tmpl w:val="331A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8307070">
    <w:abstractNumId w:val="3"/>
  </w:num>
  <w:num w:numId="2" w16cid:durableId="747266627">
    <w:abstractNumId w:val="2"/>
  </w:num>
  <w:num w:numId="3" w16cid:durableId="1902249189">
    <w:abstractNumId w:val="9"/>
  </w:num>
  <w:num w:numId="4" w16cid:durableId="1961716877">
    <w:abstractNumId w:val="0"/>
  </w:num>
  <w:num w:numId="5" w16cid:durableId="903176230">
    <w:abstractNumId w:val="6"/>
  </w:num>
  <w:num w:numId="6" w16cid:durableId="1422331110">
    <w:abstractNumId w:val="10"/>
  </w:num>
  <w:num w:numId="7" w16cid:durableId="2065372252">
    <w:abstractNumId w:val="12"/>
  </w:num>
  <w:num w:numId="8" w16cid:durableId="1316647441">
    <w:abstractNumId w:val="11"/>
  </w:num>
  <w:num w:numId="9" w16cid:durableId="1481844576">
    <w:abstractNumId w:val="4"/>
  </w:num>
  <w:num w:numId="10" w16cid:durableId="1262563007">
    <w:abstractNumId w:val="1"/>
  </w:num>
  <w:num w:numId="11" w16cid:durableId="1883665550">
    <w:abstractNumId w:val="7"/>
  </w:num>
  <w:num w:numId="12" w16cid:durableId="1308820149">
    <w:abstractNumId w:val="14"/>
  </w:num>
  <w:num w:numId="13" w16cid:durableId="1423645087">
    <w:abstractNumId w:val="5"/>
  </w:num>
  <w:num w:numId="14" w16cid:durableId="45419556">
    <w:abstractNumId w:val="13"/>
  </w:num>
  <w:num w:numId="15" w16cid:durableId="10960553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A9"/>
    <w:rsid w:val="000260AB"/>
    <w:rsid w:val="00061566"/>
    <w:rsid w:val="00064C89"/>
    <w:rsid w:val="000A461B"/>
    <w:rsid w:val="000C73DE"/>
    <w:rsid w:val="00112C9A"/>
    <w:rsid w:val="0011599D"/>
    <w:rsid w:val="001571D2"/>
    <w:rsid w:val="00160972"/>
    <w:rsid w:val="001C4603"/>
    <w:rsid w:val="001E5AF8"/>
    <w:rsid w:val="002847A9"/>
    <w:rsid w:val="00286370"/>
    <w:rsid w:val="002E120C"/>
    <w:rsid w:val="002F0D95"/>
    <w:rsid w:val="00332B6F"/>
    <w:rsid w:val="003713C7"/>
    <w:rsid w:val="003814C7"/>
    <w:rsid w:val="003B2A93"/>
    <w:rsid w:val="00464C89"/>
    <w:rsid w:val="0053645B"/>
    <w:rsid w:val="00537F74"/>
    <w:rsid w:val="00545712"/>
    <w:rsid w:val="00546D27"/>
    <w:rsid w:val="00563659"/>
    <w:rsid w:val="005D6EEF"/>
    <w:rsid w:val="006052BB"/>
    <w:rsid w:val="006757B9"/>
    <w:rsid w:val="006B7F00"/>
    <w:rsid w:val="006E3563"/>
    <w:rsid w:val="00767A4C"/>
    <w:rsid w:val="007C621E"/>
    <w:rsid w:val="007E7047"/>
    <w:rsid w:val="008051DE"/>
    <w:rsid w:val="00864C4D"/>
    <w:rsid w:val="00873AFD"/>
    <w:rsid w:val="0088291E"/>
    <w:rsid w:val="00895978"/>
    <w:rsid w:val="008A4CA1"/>
    <w:rsid w:val="00944BE5"/>
    <w:rsid w:val="00982BE9"/>
    <w:rsid w:val="009B0825"/>
    <w:rsid w:val="009C7163"/>
    <w:rsid w:val="009F34A9"/>
    <w:rsid w:val="00AE2E14"/>
    <w:rsid w:val="00AE51B0"/>
    <w:rsid w:val="00AF1598"/>
    <w:rsid w:val="00B42A65"/>
    <w:rsid w:val="00BF679E"/>
    <w:rsid w:val="00C100D0"/>
    <w:rsid w:val="00C35426"/>
    <w:rsid w:val="00C51E27"/>
    <w:rsid w:val="00C766B0"/>
    <w:rsid w:val="00CC1F88"/>
    <w:rsid w:val="00CD54ED"/>
    <w:rsid w:val="00CE1F1F"/>
    <w:rsid w:val="00D03BF1"/>
    <w:rsid w:val="00D4243B"/>
    <w:rsid w:val="00D75E8C"/>
    <w:rsid w:val="00DB50C7"/>
    <w:rsid w:val="00DE61A2"/>
    <w:rsid w:val="00E159A9"/>
    <w:rsid w:val="00E82483"/>
    <w:rsid w:val="00E95FD2"/>
    <w:rsid w:val="00EF184C"/>
    <w:rsid w:val="00F00DF6"/>
    <w:rsid w:val="00F13D04"/>
    <w:rsid w:val="00F14528"/>
    <w:rsid w:val="00F573B4"/>
    <w:rsid w:val="00F9335E"/>
    <w:rsid w:val="00FA4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CAF0"/>
  <w15:chartTrackingRefBased/>
  <w15:docId w15:val="{C69603AC-656A-4C45-9B55-E8111544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7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7A9"/>
    <w:pPr>
      <w:ind w:left="720"/>
      <w:contextualSpacing/>
    </w:pPr>
  </w:style>
  <w:style w:type="table" w:styleId="TableGrid">
    <w:name w:val="Table Grid"/>
    <w:basedOn w:val="TableNormal"/>
    <w:rsid w:val="002847A9"/>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84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7A9"/>
  </w:style>
  <w:style w:type="paragraph" w:styleId="Footer">
    <w:name w:val="footer"/>
    <w:basedOn w:val="Normal"/>
    <w:link w:val="FooterChar"/>
    <w:uiPriority w:val="99"/>
    <w:unhideWhenUsed/>
    <w:rsid w:val="00284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7A9"/>
  </w:style>
  <w:style w:type="paragraph" w:customStyle="1" w:styleId="Default">
    <w:name w:val="Default"/>
    <w:rsid w:val="002847A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lmarticle-title">
    <w:name w:val="nlm_article-title"/>
    <w:basedOn w:val="DefaultParagraphFont"/>
    <w:rsid w:val="002847A9"/>
  </w:style>
  <w:style w:type="character" w:customStyle="1" w:styleId="fontstyle01">
    <w:name w:val="fontstyle01"/>
    <w:basedOn w:val="DefaultParagraphFont"/>
    <w:rsid w:val="002847A9"/>
    <w:rPr>
      <w:rFonts w:ascii="Arial" w:hAnsi="Arial" w:cs="Arial" w:hint="default"/>
      <w:b w:val="0"/>
      <w:bCs w:val="0"/>
      <w:i w:val="0"/>
      <w:iCs w:val="0"/>
      <w:color w:val="000000"/>
      <w:sz w:val="24"/>
      <w:szCs w:val="24"/>
    </w:rPr>
  </w:style>
  <w:style w:type="paragraph" w:styleId="NoSpacing">
    <w:name w:val="No Spacing"/>
    <w:aliases w:val="paragraph"/>
    <w:link w:val="NoSpacingChar"/>
    <w:uiPriority w:val="1"/>
    <w:qFormat/>
    <w:rsid w:val="002847A9"/>
    <w:pPr>
      <w:spacing w:after="0" w:line="240" w:lineRule="auto"/>
    </w:pPr>
  </w:style>
  <w:style w:type="character" w:styleId="Hyperlink">
    <w:name w:val="Hyperlink"/>
    <w:basedOn w:val="DefaultParagraphFont"/>
    <w:uiPriority w:val="99"/>
    <w:unhideWhenUsed/>
    <w:rsid w:val="002847A9"/>
    <w:rPr>
      <w:color w:val="0563C1" w:themeColor="hyperlink"/>
      <w:u w:val="single"/>
    </w:rPr>
  </w:style>
  <w:style w:type="character" w:customStyle="1" w:styleId="NoSpacingChar">
    <w:name w:val="No Spacing Char"/>
    <w:aliases w:val="paragraph Char"/>
    <w:basedOn w:val="DefaultParagraphFont"/>
    <w:link w:val="NoSpacing"/>
    <w:uiPriority w:val="1"/>
    <w:locked/>
    <w:rsid w:val="002847A9"/>
  </w:style>
  <w:style w:type="paragraph" w:styleId="BalloonText">
    <w:name w:val="Balloon Text"/>
    <w:basedOn w:val="Normal"/>
    <w:link w:val="BalloonTextChar"/>
    <w:uiPriority w:val="99"/>
    <w:semiHidden/>
    <w:unhideWhenUsed/>
    <w:rsid w:val="002847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7A9"/>
    <w:rPr>
      <w:rFonts w:ascii="Segoe UI" w:hAnsi="Segoe UI" w:cs="Segoe UI"/>
      <w:sz w:val="18"/>
      <w:szCs w:val="18"/>
    </w:rPr>
  </w:style>
  <w:style w:type="character" w:styleId="FollowedHyperlink">
    <w:name w:val="FollowedHyperlink"/>
    <w:basedOn w:val="DefaultParagraphFont"/>
    <w:uiPriority w:val="99"/>
    <w:semiHidden/>
    <w:unhideWhenUsed/>
    <w:rsid w:val="002847A9"/>
    <w:rPr>
      <w:color w:val="954F72"/>
      <w:u w:val="single"/>
    </w:rPr>
  </w:style>
  <w:style w:type="paragraph" w:customStyle="1" w:styleId="msonormal0">
    <w:name w:val="msonormal"/>
    <w:basedOn w:val="Normal"/>
    <w:rsid w:val="00284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6">
    <w:name w:val="xl66"/>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7">
    <w:name w:val="xl67"/>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8">
    <w:name w:val="xl68"/>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69">
    <w:name w:val="xl69"/>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0">
    <w:name w:val="xl70"/>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1">
    <w:name w:val="xl71"/>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2">
    <w:name w:val="xl72"/>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3">
    <w:name w:val="xl73"/>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4">
    <w:name w:val="xl74"/>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5">
    <w:name w:val="xl75"/>
    <w:basedOn w:val="Normal"/>
    <w:rsid w:val="002847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37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lang="en-US"/>
              <a:t>ROA Chart </a:t>
            </a:r>
          </a:p>
        </c:rich>
      </c:tx>
      <c:overlay val="0"/>
      <c:spPr>
        <a:noFill/>
        <a:ln>
          <a:noFill/>
        </a:ln>
        <a:effectLst/>
      </c:spPr>
      <c:txPr>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846981627296588"/>
          <c:y val="0.19721055701370663"/>
          <c:w val="0.84512751531058616"/>
          <c:h val="0.77736111111111106"/>
        </c:manualLayout>
      </c:layout>
      <c:areaChart>
        <c:grouping val="standard"/>
        <c:varyColors val="0"/>
        <c:ser>
          <c:idx val="0"/>
          <c:order val="0"/>
          <c:tx>
            <c:strRef>
              <c:f>Sheet1!$B$4</c:f>
              <c:strCache>
                <c:ptCount val="1"/>
                <c:pt idx="0">
                  <c:v>ROA</c:v>
                </c:pt>
              </c:strCache>
            </c:strRef>
          </c:tx>
          <c:spPr>
            <a:solidFill>
              <a:schemeClr val="accent1"/>
            </a:solidFill>
            <a:ln>
              <a:noFill/>
            </a:ln>
            <a:effectLst/>
          </c:spPr>
          <c:cat>
            <c:strRef>
              <c:f>Sheet1!$C$2:$G$3</c:f>
              <c:strCache>
                <c:ptCount val="5"/>
                <c:pt idx="0">
                  <c:v>Mean </c:v>
                </c:pt>
                <c:pt idx="1">
                  <c:v>Maximum </c:v>
                </c:pt>
                <c:pt idx="2">
                  <c:v>Minimum </c:v>
                </c:pt>
                <c:pt idx="3">
                  <c:v>Std. Dev.</c:v>
                </c:pt>
                <c:pt idx="4">
                  <c:v>Obs</c:v>
                </c:pt>
              </c:strCache>
            </c:strRef>
          </c:cat>
          <c:val>
            <c:numRef>
              <c:f>Sheet1!$C$4:$G$4</c:f>
              <c:numCache>
                <c:formatCode>General</c:formatCode>
                <c:ptCount val="5"/>
                <c:pt idx="0">
                  <c:v>0.4531</c:v>
                </c:pt>
                <c:pt idx="1">
                  <c:v>0.1472</c:v>
                </c:pt>
                <c:pt idx="2">
                  <c:v>-1.2E-2</c:v>
                </c:pt>
                <c:pt idx="3" formatCode="#,##0">
                  <c:v>43343</c:v>
                </c:pt>
                <c:pt idx="4">
                  <c:v>50</c:v>
                </c:pt>
              </c:numCache>
            </c:numRef>
          </c:val>
          <c:extLst>
            <c:ext xmlns:c16="http://schemas.microsoft.com/office/drawing/2014/chart" uri="{C3380CC4-5D6E-409C-BE32-E72D297353CC}">
              <c16:uniqueId val="{00000000-BB8B-45D5-BD48-7DE8045A5005}"/>
            </c:ext>
          </c:extLst>
        </c:ser>
        <c:ser>
          <c:idx val="1"/>
          <c:order val="1"/>
          <c:tx>
            <c:strRef>
              <c:f>Sheet1!$B$5</c:f>
              <c:strCache>
                <c:ptCount val="1"/>
                <c:pt idx="0">
                  <c:v>ROE</c:v>
                </c:pt>
              </c:strCache>
            </c:strRef>
          </c:tx>
          <c:spPr>
            <a:solidFill>
              <a:schemeClr val="accent2"/>
            </a:solidFill>
            <a:ln>
              <a:noFill/>
            </a:ln>
            <a:effectLst/>
          </c:spPr>
          <c:cat>
            <c:strRef>
              <c:f>Sheet1!$C$2:$G$3</c:f>
              <c:strCache>
                <c:ptCount val="5"/>
                <c:pt idx="0">
                  <c:v>Mean </c:v>
                </c:pt>
                <c:pt idx="1">
                  <c:v>Maximum </c:v>
                </c:pt>
                <c:pt idx="2">
                  <c:v>Minimum </c:v>
                </c:pt>
                <c:pt idx="3">
                  <c:v>Std. Dev.</c:v>
                </c:pt>
                <c:pt idx="4">
                  <c:v>Obs</c:v>
                </c:pt>
              </c:strCache>
            </c:strRef>
          </c:cat>
          <c:val>
            <c:numRef>
              <c:f>Sheet1!$C$5:$G$5</c:f>
              <c:numCache>
                <c:formatCode>General</c:formatCode>
                <c:ptCount val="5"/>
                <c:pt idx="0">
                  <c:v>0.14510000000000001</c:v>
                </c:pt>
                <c:pt idx="1">
                  <c:v>34.957999999999998</c:v>
                </c:pt>
                <c:pt idx="2">
                  <c:v>-0.98429999999999995</c:v>
                </c:pt>
                <c:pt idx="3">
                  <c:v>3.4239999999999999</c:v>
                </c:pt>
                <c:pt idx="4">
                  <c:v>50</c:v>
                </c:pt>
              </c:numCache>
            </c:numRef>
          </c:val>
          <c:extLst>
            <c:ext xmlns:c16="http://schemas.microsoft.com/office/drawing/2014/chart" uri="{C3380CC4-5D6E-409C-BE32-E72D297353CC}">
              <c16:uniqueId val="{00000001-BB8B-45D5-BD48-7DE8045A5005}"/>
            </c:ext>
          </c:extLst>
        </c:ser>
        <c:ser>
          <c:idx val="2"/>
          <c:order val="2"/>
          <c:tx>
            <c:strRef>
              <c:f>Sheet1!$B$6</c:f>
              <c:strCache>
                <c:ptCount val="1"/>
                <c:pt idx="0">
                  <c:v>LEQU</c:v>
                </c:pt>
              </c:strCache>
            </c:strRef>
          </c:tx>
          <c:spPr>
            <a:solidFill>
              <a:schemeClr val="accent3"/>
            </a:solidFill>
            <a:ln>
              <a:noFill/>
            </a:ln>
            <a:effectLst/>
          </c:spPr>
          <c:cat>
            <c:strRef>
              <c:f>Sheet1!$C$2:$G$3</c:f>
              <c:strCache>
                <c:ptCount val="5"/>
                <c:pt idx="0">
                  <c:v>Mean </c:v>
                </c:pt>
                <c:pt idx="1">
                  <c:v>Maximum </c:v>
                </c:pt>
                <c:pt idx="2">
                  <c:v>Minimum </c:v>
                </c:pt>
                <c:pt idx="3">
                  <c:v>Std. Dev.</c:v>
                </c:pt>
                <c:pt idx="4">
                  <c:v>Obs</c:v>
                </c:pt>
              </c:strCache>
            </c:strRef>
          </c:cat>
          <c:val>
            <c:numRef>
              <c:f>Sheet1!$C$6:$G$6</c:f>
              <c:numCache>
                <c:formatCode>General</c:formatCode>
                <c:ptCount val="5"/>
                <c:pt idx="0">
                  <c:v>23.341999999999999</c:v>
                </c:pt>
                <c:pt idx="1">
                  <c:v>21.023</c:v>
                </c:pt>
                <c:pt idx="2">
                  <c:v>3.5948000000000002</c:v>
                </c:pt>
                <c:pt idx="3">
                  <c:v>32.344999999999999</c:v>
                </c:pt>
                <c:pt idx="4">
                  <c:v>50</c:v>
                </c:pt>
              </c:numCache>
            </c:numRef>
          </c:val>
          <c:extLst>
            <c:ext xmlns:c16="http://schemas.microsoft.com/office/drawing/2014/chart" uri="{C3380CC4-5D6E-409C-BE32-E72D297353CC}">
              <c16:uniqueId val="{00000002-BB8B-45D5-BD48-7DE8045A5005}"/>
            </c:ext>
          </c:extLst>
        </c:ser>
        <c:ser>
          <c:idx val="3"/>
          <c:order val="3"/>
          <c:tx>
            <c:strRef>
              <c:f>Sheet1!$B$7</c:f>
              <c:strCache>
                <c:ptCount val="1"/>
                <c:pt idx="0">
                  <c:v>LTOD</c:v>
                </c:pt>
              </c:strCache>
            </c:strRef>
          </c:tx>
          <c:spPr>
            <a:solidFill>
              <a:schemeClr val="accent4"/>
            </a:solidFill>
            <a:ln>
              <a:noFill/>
            </a:ln>
            <a:effectLst/>
          </c:spPr>
          <c:cat>
            <c:strRef>
              <c:f>Sheet1!$C$2:$G$3</c:f>
              <c:strCache>
                <c:ptCount val="5"/>
                <c:pt idx="0">
                  <c:v>Mean </c:v>
                </c:pt>
                <c:pt idx="1">
                  <c:v>Maximum </c:v>
                </c:pt>
                <c:pt idx="2">
                  <c:v>Minimum </c:v>
                </c:pt>
                <c:pt idx="3">
                  <c:v>Std. Dev.</c:v>
                </c:pt>
                <c:pt idx="4">
                  <c:v>Obs</c:v>
                </c:pt>
              </c:strCache>
            </c:strRef>
          </c:cat>
          <c:val>
            <c:numRef>
              <c:f>Sheet1!$C$7:$G$7</c:f>
              <c:numCache>
                <c:formatCode>General</c:formatCode>
                <c:ptCount val="5"/>
                <c:pt idx="0">
                  <c:v>23.231999999999999</c:v>
                </c:pt>
                <c:pt idx="1">
                  <c:v>9.4830000000000005</c:v>
                </c:pt>
                <c:pt idx="2" formatCode="#,##0">
                  <c:v>14056</c:v>
                </c:pt>
                <c:pt idx="3">
                  <c:v>6.3449999999999998</c:v>
                </c:pt>
                <c:pt idx="4">
                  <c:v>50</c:v>
                </c:pt>
              </c:numCache>
            </c:numRef>
          </c:val>
          <c:extLst>
            <c:ext xmlns:c16="http://schemas.microsoft.com/office/drawing/2014/chart" uri="{C3380CC4-5D6E-409C-BE32-E72D297353CC}">
              <c16:uniqueId val="{00000003-BB8B-45D5-BD48-7DE8045A5005}"/>
            </c:ext>
          </c:extLst>
        </c:ser>
        <c:ser>
          <c:idx val="4"/>
          <c:order val="4"/>
          <c:tx>
            <c:strRef>
              <c:f>Sheet1!$B$8</c:f>
              <c:strCache>
                <c:ptCount val="1"/>
                <c:pt idx="0">
                  <c:v>LTOA</c:v>
                </c:pt>
              </c:strCache>
            </c:strRef>
          </c:tx>
          <c:spPr>
            <a:solidFill>
              <a:schemeClr val="accent5"/>
            </a:solidFill>
            <a:ln>
              <a:noFill/>
            </a:ln>
            <a:effectLst/>
          </c:spPr>
          <c:cat>
            <c:strRef>
              <c:f>Sheet1!$C$2:$G$3</c:f>
              <c:strCache>
                <c:ptCount val="5"/>
                <c:pt idx="0">
                  <c:v>Mean </c:v>
                </c:pt>
                <c:pt idx="1">
                  <c:v>Maximum </c:v>
                </c:pt>
                <c:pt idx="2">
                  <c:v>Minimum </c:v>
                </c:pt>
                <c:pt idx="3">
                  <c:v>Std. Dev.</c:v>
                </c:pt>
                <c:pt idx="4">
                  <c:v>Obs</c:v>
                </c:pt>
              </c:strCache>
            </c:strRef>
          </c:cat>
          <c:val>
            <c:numRef>
              <c:f>Sheet1!$C$8:$G$8</c:f>
              <c:numCache>
                <c:formatCode>General</c:formatCode>
                <c:ptCount val="5"/>
                <c:pt idx="0">
                  <c:v>45.393999999999998</c:v>
                </c:pt>
                <c:pt idx="1">
                  <c:v>42.204000000000001</c:v>
                </c:pt>
                <c:pt idx="2">
                  <c:v>32.344999999999999</c:v>
                </c:pt>
                <c:pt idx="3" formatCode="#,##0">
                  <c:v>14567</c:v>
                </c:pt>
                <c:pt idx="4">
                  <c:v>50</c:v>
                </c:pt>
              </c:numCache>
            </c:numRef>
          </c:val>
          <c:extLst>
            <c:ext xmlns:c16="http://schemas.microsoft.com/office/drawing/2014/chart" uri="{C3380CC4-5D6E-409C-BE32-E72D297353CC}">
              <c16:uniqueId val="{00000004-BB8B-45D5-BD48-7DE8045A5005}"/>
            </c:ext>
          </c:extLst>
        </c:ser>
        <c:dLbls>
          <c:showLegendKey val="0"/>
          <c:showVal val="0"/>
          <c:showCatName val="0"/>
          <c:showSerName val="0"/>
          <c:showPercent val="0"/>
          <c:showBubbleSize val="0"/>
        </c:dLbls>
        <c:axId val="613929055"/>
        <c:axId val="613938623"/>
      </c:areaChart>
      <c:catAx>
        <c:axId val="613929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613938623"/>
        <c:crosses val="autoZero"/>
        <c:auto val="1"/>
        <c:lblAlgn val="ctr"/>
        <c:lblOffset val="100"/>
        <c:noMultiLvlLbl val="0"/>
      </c:catAx>
      <c:valAx>
        <c:axId val="613938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61392905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18</Pages>
  <Words>6698</Words>
  <Characters>38180</Characters>
  <Application>Microsoft Office Word</Application>
  <DocSecurity>0</DocSecurity>
  <Lines>318</Lines>
  <Paragraphs>89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Table 2: Pearson Correlation Matrix among the Variables </vt:lpstr>
    </vt:vector>
  </TitlesOfParts>
  <Company/>
  <LinksUpToDate>false</LinksUpToDate>
  <CharactersWithSpaces>44789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Johnson</dc:creator>
  <cp:keywords/>
  <dc:description/>
  <cp:lastModifiedBy>De Johnson</cp:lastModifiedBy>
  <cp:revision>68</cp:revision>
  <dcterms:created xsi:type="dcterms:W3CDTF">2022-05-23T22:57:00Z</dcterms:created>
  <dcterms:modified xsi:type="dcterms:W3CDTF">2022-06-11T02:35:00Z</dcterms:modified>
</cp:coreProperties>
</file>